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8D8F" w14:textId="77777777" w:rsidR="00682ECC" w:rsidRPr="00607FEC" w:rsidRDefault="00682ECC" w:rsidP="00682ECC">
      <w:pPr>
        <w:pStyle w:val="2"/>
        <w:spacing w:before="100" w:after="0"/>
        <w:rPr>
          <w:rFonts w:ascii="Times New Roman" w:eastAsia="宋体" w:hAnsi="Times New Roman" w:cs="Times New Roman"/>
          <w:sz w:val="28"/>
        </w:rPr>
      </w:pPr>
      <w:bookmarkStart w:id="0" w:name="_Toc180513711"/>
      <w:r w:rsidRPr="00607FEC">
        <w:rPr>
          <w:rFonts w:ascii="Times New Roman" w:eastAsia="宋体" w:hAnsi="Times New Roman" w:cs="Times New Roman" w:hint="eastAsia"/>
          <w:sz w:val="28"/>
        </w:rPr>
        <w:t>附件</w:t>
      </w:r>
      <w:r w:rsidRPr="00607FEC">
        <w:rPr>
          <w:rFonts w:ascii="Times New Roman" w:eastAsia="宋体" w:hAnsi="Times New Roman" w:cs="Times New Roman" w:hint="eastAsia"/>
          <w:sz w:val="28"/>
        </w:rPr>
        <w:t>1</w:t>
      </w:r>
      <w:r w:rsidRPr="00607FEC">
        <w:rPr>
          <w:rFonts w:ascii="Times New Roman" w:eastAsia="宋体" w:hAnsi="Times New Roman" w:cs="Times New Roman" w:hint="eastAsia"/>
          <w:sz w:val="28"/>
        </w:rPr>
        <w:t>：招标公告附表</w:t>
      </w:r>
      <w:bookmarkEnd w:id="0"/>
    </w:p>
    <w:p w14:paraId="6A4176D2" w14:textId="77777777" w:rsidR="00682ECC" w:rsidRPr="00607FEC" w:rsidRDefault="00682ECC" w:rsidP="00682ECC">
      <w:pPr>
        <w:pStyle w:val="af3"/>
      </w:pPr>
    </w:p>
    <w:tbl>
      <w:tblPr>
        <w:tblW w:w="14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51"/>
        <w:gridCol w:w="567"/>
        <w:gridCol w:w="1005"/>
        <w:gridCol w:w="1931"/>
        <w:gridCol w:w="510"/>
        <w:gridCol w:w="511"/>
        <w:gridCol w:w="4956"/>
        <w:gridCol w:w="537"/>
        <w:gridCol w:w="473"/>
        <w:gridCol w:w="722"/>
        <w:gridCol w:w="690"/>
        <w:gridCol w:w="1319"/>
      </w:tblGrid>
      <w:tr w:rsidR="00682ECC" w:rsidRPr="00607FEC" w14:paraId="71F18E44" w14:textId="77777777" w:rsidTr="00B852BC">
        <w:trPr>
          <w:trHeight w:val="454"/>
          <w:tblHeader/>
          <w:jc w:val="center"/>
        </w:trPr>
        <w:tc>
          <w:tcPr>
            <w:tcW w:w="520" w:type="dxa"/>
            <w:shd w:val="clear" w:color="000000" w:fill="C6E0B4"/>
            <w:vAlign w:val="center"/>
            <w:hideMark/>
          </w:tcPr>
          <w:p w14:paraId="6C784841"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序号</w:t>
            </w:r>
          </w:p>
        </w:tc>
        <w:tc>
          <w:tcPr>
            <w:tcW w:w="651" w:type="dxa"/>
            <w:shd w:val="clear" w:color="000000" w:fill="C6E0B4"/>
            <w:vAlign w:val="center"/>
            <w:hideMark/>
          </w:tcPr>
          <w:p w14:paraId="5D78CA04"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包件号</w:t>
            </w:r>
          </w:p>
        </w:tc>
        <w:tc>
          <w:tcPr>
            <w:tcW w:w="567" w:type="dxa"/>
            <w:shd w:val="clear" w:color="000000" w:fill="C6E0B4"/>
            <w:vAlign w:val="center"/>
            <w:hideMark/>
          </w:tcPr>
          <w:p w14:paraId="7DEAE493"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包件名称</w:t>
            </w:r>
          </w:p>
        </w:tc>
        <w:tc>
          <w:tcPr>
            <w:tcW w:w="1005" w:type="dxa"/>
            <w:shd w:val="clear" w:color="000000" w:fill="C6E0B4"/>
            <w:vAlign w:val="center"/>
            <w:hideMark/>
          </w:tcPr>
          <w:p w14:paraId="374FD589"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物资名称</w:t>
            </w:r>
          </w:p>
        </w:tc>
        <w:tc>
          <w:tcPr>
            <w:tcW w:w="1931" w:type="dxa"/>
            <w:shd w:val="clear" w:color="000000" w:fill="C6E0B4"/>
            <w:vAlign w:val="center"/>
            <w:hideMark/>
          </w:tcPr>
          <w:p w14:paraId="0CBFC59C"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规格型号</w:t>
            </w:r>
          </w:p>
        </w:tc>
        <w:tc>
          <w:tcPr>
            <w:tcW w:w="510" w:type="dxa"/>
            <w:shd w:val="clear" w:color="000000" w:fill="C6E0B4"/>
            <w:vAlign w:val="center"/>
            <w:hideMark/>
          </w:tcPr>
          <w:p w14:paraId="340CA72C"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计量单位</w:t>
            </w:r>
          </w:p>
        </w:tc>
        <w:tc>
          <w:tcPr>
            <w:tcW w:w="511" w:type="dxa"/>
            <w:shd w:val="clear" w:color="000000" w:fill="C6E0B4"/>
            <w:vAlign w:val="center"/>
            <w:hideMark/>
          </w:tcPr>
          <w:p w14:paraId="647610FC"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需求数量</w:t>
            </w:r>
          </w:p>
        </w:tc>
        <w:tc>
          <w:tcPr>
            <w:tcW w:w="4956" w:type="dxa"/>
            <w:shd w:val="clear" w:color="000000" w:fill="C6E0B4"/>
            <w:noWrap/>
            <w:vAlign w:val="center"/>
            <w:hideMark/>
          </w:tcPr>
          <w:p w14:paraId="207670C3"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资格条件</w:t>
            </w:r>
          </w:p>
        </w:tc>
        <w:tc>
          <w:tcPr>
            <w:tcW w:w="537" w:type="dxa"/>
            <w:shd w:val="clear" w:color="000000" w:fill="C6E0B4"/>
            <w:vAlign w:val="center"/>
            <w:hideMark/>
          </w:tcPr>
          <w:p w14:paraId="7AD09AD0"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交货时间</w:t>
            </w:r>
          </w:p>
        </w:tc>
        <w:tc>
          <w:tcPr>
            <w:tcW w:w="473" w:type="dxa"/>
            <w:shd w:val="clear" w:color="000000" w:fill="C6E0B4"/>
            <w:vAlign w:val="center"/>
            <w:hideMark/>
          </w:tcPr>
          <w:p w14:paraId="2FD023AF"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交货地点</w:t>
            </w:r>
          </w:p>
        </w:tc>
        <w:tc>
          <w:tcPr>
            <w:tcW w:w="722" w:type="dxa"/>
            <w:shd w:val="clear" w:color="000000" w:fill="C6E0B4"/>
            <w:vAlign w:val="center"/>
            <w:hideMark/>
          </w:tcPr>
          <w:p w14:paraId="5EF5CFCE"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交货条件及状态</w:t>
            </w:r>
          </w:p>
        </w:tc>
        <w:tc>
          <w:tcPr>
            <w:tcW w:w="690" w:type="dxa"/>
            <w:shd w:val="clear" w:color="000000" w:fill="C6E0B4"/>
            <w:vAlign w:val="center"/>
            <w:hideMark/>
          </w:tcPr>
          <w:p w14:paraId="17320CDF"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收货单位</w:t>
            </w:r>
          </w:p>
        </w:tc>
        <w:tc>
          <w:tcPr>
            <w:tcW w:w="1319" w:type="dxa"/>
            <w:shd w:val="clear" w:color="000000" w:fill="C6E0B4"/>
            <w:noWrap/>
            <w:vAlign w:val="center"/>
            <w:hideMark/>
          </w:tcPr>
          <w:p w14:paraId="7624843A" w14:textId="77777777" w:rsidR="00682ECC" w:rsidRPr="00607FEC" w:rsidRDefault="00682ECC" w:rsidP="00B852BC">
            <w:pPr>
              <w:widowControl/>
              <w:spacing w:line="240" w:lineRule="auto"/>
              <w:jc w:val="center"/>
              <w:rPr>
                <w:rFonts w:cs="Times New Roman"/>
                <w:b/>
                <w:bCs/>
                <w:color w:val="000000"/>
                <w:kern w:val="0"/>
                <w:sz w:val="12"/>
                <w:szCs w:val="12"/>
              </w:rPr>
            </w:pPr>
            <w:r w:rsidRPr="00607FEC">
              <w:rPr>
                <w:rFonts w:cs="Times New Roman"/>
                <w:b/>
                <w:bCs/>
                <w:color w:val="000000"/>
                <w:kern w:val="0"/>
                <w:sz w:val="12"/>
                <w:szCs w:val="12"/>
              </w:rPr>
              <w:t>备注</w:t>
            </w:r>
          </w:p>
        </w:tc>
      </w:tr>
      <w:tr w:rsidR="00682ECC" w:rsidRPr="00607FEC" w14:paraId="34D068FA" w14:textId="77777777" w:rsidTr="00B852BC">
        <w:trPr>
          <w:trHeight w:val="1005"/>
          <w:jc w:val="center"/>
        </w:trPr>
        <w:tc>
          <w:tcPr>
            <w:tcW w:w="520" w:type="dxa"/>
            <w:shd w:val="clear" w:color="auto" w:fill="auto"/>
            <w:noWrap/>
            <w:vAlign w:val="center"/>
            <w:hideMark/>
          </w:tcPr>
          <w:p w14:paraId="5AEBC7CE"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1</w:t>
            </w:r>
          </w:p>
        </w:tc>
        <w:tc>
          <w:tcPr>
            <w:tcW w:w="651" w:type="dxa"/>
            <w:vMerge w:val="restart"/>
            <w:shd w:val="clear" w:color="auto" w:fill="auto"/>
            <w:noWrap/>
            <w:vAlign w:val="center"/>
            <w:hideMark/>
          </w:tcPr>
          <w:p w14:paraId="225D027A"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TX03</w:t>
            </w:r>
          </w:p>
        </w:tc>
        <w:tc>
          <w:tcPr>
            <w:tcW w:w="567" w:type="dxa"/>
            <w:vMerge w:val="restart"/>
            <w:shd w:val="clear" w:color="auto" w:fill="auto"/>
            <w:noWrap/>
            <w:vAlign w:val="center"/>
            <w:hideMark/>
          </w:tcPr>
          <w:p w14:paraId="6534D796"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有线调度通信设备</w:t>
            </w:r>
          </w:p>
        </w:tc>
        <w:tc>
          <w:tcPr>
            <w:tcW w:w="1005" w:type="dxa"/>
            <w:shd w:val="clear" w:color="auto" w:fill="auto"/>
            <w:noWrap/>
            <w:vAlign w:val="center"/>
            <w:hideMark/>
          </w:tcPr>
          <w:p w14:paraId="373F8A75"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车站调度交换机</w:t>
            </w:r>
          </w:p>
        </w:tc>
        <w:tc>
          <w:tcPr>
            <w:tcW w:w="1931" w:type="dxa"/>
            <w:shd w:val="clear" w:color="auto" w:fill="auto"/>
            <w:noWrap/>
            <w:vAlign w:val="center"/>
            <w:hideMark/>
          </w:tcPr>
          <w:p w14:paraId="1BAF72BD"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交叉容量不低于</w:t>
            </w:r>
            <w:r w:rsidRPr="00607FEC">
              <w:rPr>
                <w:rFonts w:cs="Times New Roman"/>
                <w:color w:val="000000"/>
                <w:kern w:val="0"/>
                <w:sz w:val="12"/>
                <w:szCs w:val="12"/>
              </w:rPr>
              <w:t>512×512</w:t>
            </w:r>
            <w:r w:rsidRPr="00607FEC">
              <w:rPr>
                <w:rFonts w:cs="Times New Roman"/>
                <w:color w:val="000000"/>
                <w:kern w:val="0"/>
                <w:sz w:val="12"/>
                <w:szCs w:val="12"/>
              </w:rPr>
              <w:t>，</w:t>
            </w:r>
            <w:r w:rsidRPr="00607FEC">
              <w:rPr>
                <w:rFonts w:cs="Times New Roman"/>
                <w:color w:val="000000"/>
                <w:kern w:val="0"/>
                <w:sz w:val="12"/>
                <w:szCs w:val="12"/>
              </w:rPr>
              <w:t>4</w:t>
            </w:r>
            <w:r w:rsidRPr="00607FEC">
              <w:rPr>
                <w:rFonts w:cs="Times New Roman"/>
                <w:color w:val="000000"/>
                <w:kern w:val="0"/>
                <w:sz w:val="12"/>
                <w:szCs w:val="12"/>
              </w:rPr>
              <w:t>路</w:t>
            </w:r>
            <w:r w:rsidRPr="00607FEC">
              <w:rPr>
                <w:rFonts w:cs="Times New Roman"/>
                <w:color w:val="000000"/>
                <w:kern w:val="0"/>
                <w:sz w:val="12"/>
                <w:szCs w:val="12"/>
              </w:rPr>
              <w:t>2B+D</w:t>
            </w:r>
            <w:r w:rsidRPr="00607FEC">
              <w:rPr>
                <w:rFonts w:cs="Times New Roman"/>
                <w:color w:val="000000"/>
                <w:kern w:val="0"/>
                <w:sz w:val="12"/>
                <w:szCs w:val="12"/>
              </w:rPr>
              <w:t>接口、</w:t>
            </w:r>
            <w:r w:rsidRPr="00607FEC">
              <w:rPr>
                <w:rFonts w:cs="Times New Roman"/>
                <w:color w:val="000000"/>
                <w:kern w:val="0"/>
                <w:sz w:val="12"/>
                <w:szCs w:val="12"/>
              </w:rPr>
              <w:t>8</w:t>
            </w:r>
            <w:r w:rsidRPr="00607FEC">
              <w:rPr>
                <w:rFonts w:cs="Times New Roman"/>
                <w:color w:val="000000"/>
                <w:kern w:val="0"/>
                <w:sz w:val="12"/>
                <w:szCs w:val="12"/>
              </w:rPr>
              <w:t>路</w:t>
            </w:r>
            <w:r w:rsidRPr="00607FEC">
              <w:rPr>
                <w:rFonts w:cs="Times New Roman"/>
                <w:color w:val="000000"/>
                <w:kern w:val="0"/>
                <w:sz w:val="12"/>
                <w:szCs w:val="12"/>
              </w:rPr>
              <w:t>2M</w:t>
            </w:r>
            <w:r w:rsidRPr="00607FEC">
              <w:rPr>
                <w:rFonts w:cs="Times New Roman"/>
                <w:color w:val="000000"/>
                <w:kern w:val="0"/>
                <w:sz w:val="12"/>
                <w:szCs w:val="12"/>
              </w:rPr>
              <w:t>接口、</w:t>
            </w:r>
            <w:r w:rsidRPr="00607FEC">
              <w:rPr>
                <w:rFonts w:cs="Times New Roman"/>
                <w:color w:val="000000"/>
                <w:kern w:val="0"/>
                <w:sz w:val="12"/>
                <w:szCs w:val="12"/>
              </w:rPr>
              <w:t>30</w:t>
            </w:r>
            <w:r w:rsidRPr="00607FEC">
              <w:rPr>
                <w:rFonts w:cs="Times New Roman"/>
                <w:color w:val="000000"/>
                <w:kern w:val="0"/>
                <w:sz w:val="12"/>
                <w:szCs w:val="12"/>
              </w:rPr>
              <w:t>路共电接口、</w:t>
            </w:r>
            <w:r w:rsidRPr="00607FEC">
              <w:rPr>
                <w:rFonts w:cs="Times New Roman"/>
                <w:color w:val="000000"/>
                <w:kern w:val="0"/>
                <w:sz w:val="12"/>
                <w:szCs w:val="12"/>
              </w:rPr>
              <w:t>4</w:t>
            </w:r>
            <w:r w:rsidRPr="00607FEC">
              <w:rPr>
                <w:rFonts w:cs="Times New Roman"/>
                <w:color w:val="000000"/>
                <w:kern w:val="0"/>
                <w:sz w:val="12"/>
                <w:szCs w:val="12"/>
              </w:rPr>
              <w:t>路共分接口、</w:t>
            </w:r>
            <w:r w:rsidRPr="00607FEC">
              <w:rPr>
                <w:rFonts w:cs="Times New Roman"/>
                <w:color w:val="000000"/>
                <w:kern w:val="0"/>
                <w:sz w:val="12"/>
                <w:szCs w:val="12"/>
              </w:rPr>
              <w:t>4</w:t>
            </w:r>
            <w:r w:rsidRPr="00607FEC">
              <w:rPr>
                <w:rFonts w:cs="Times New Roman"/>
                <w:color w:val="000000"/>
                <w:kern w:val="0"/>
                <w:sz w:val="12"/>
                <w:szCs w:val="12"/>
              </w:rPr>
              <w:t>路</w:t>
            </w:r>
            <w:r w:rsidRPr="00607FEC">
              <w:rPr>
                <w:rFonts w:cs="Times New Roman"/>
                <w:color w:val="000000"/>
                <w:kern w:val="0"/>
                <w:sz w:val="12"/>
                <w:szCs w:val="12"/>
              </w:rPr>
              <w:t>VF2/4</w:t>
            </w:r>
            <w:r w:rsidRPr="00607FEC">
              <w:rPr>
                <w:rFonts w:cs="Times New Roman"/>
                <w:color w:val="000000"/>
                <w:kern w:val="0"/>
                <w:sz w:val="12"/>
                <w:szCs w:val="12"/>
              </w:rPr>
              <w:t>、</w:t>
            </w:r>
            <w:r w:rsidRPr="00607FEC">
              <w:rPr>
                <w:rFonts w:cs="Times New Roman"/>
                <w:color w:val="000000"/>
                <w:kern w:val="0"/>
                <w:sz w:val="12"/>
                <w:szCs w:val="12"/>
              </w:rPr>
              <w:t>2×4</w:t>
            </w:r>
            <w:r w:rsidRPr="00607FEC">
              <w:rPr>
                <w:rFonts w:cs="Times New Roman"/>
                <w:color w:val="000000"/>
                <w:kern w:val="0"/>
                <w:sz w:val="12"/>
                <w:szCs w:val="12"/>
              </w:rPr>
              <w:t>路</w:t>
            </w:r>
            <w:r w:rsidRPr="00607FEC">
              <w:rPr>
                <w:rFonts w:cs="Times New Roman"/>
                <w:color w:val="000000"/>
                <w:kern w:val="0"/>
                <w:sz w:val="12"/>
                <w:szCs w:val="12"/>
              </w:rPr>
              <w:t>VOIP</w:t>
            </w:r>
          </w:p>
        </w:tc>
        <w:tc>
          <w:tcPr>
            <w:tcW w:w="510" w:type="dxa"/>
            <w:shd w:val="clear" w:color="auto" w:fill="auto"/>
            <w:noWrap/>
            <w:vAlign w:val="center"/>
            <w:hideMark/>
          </w:tcPr>
          <w:p w14:paraId="34D17408"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套</w:t>
            </w:r>
          </w:p>
        </w:tc>
        <w:tc>
          <w:tcPr>
            <w:tcW w:w="511" w:type="dxa"/>
            <w:shd w:val="clear" w:color="auto" w:fill="auto"/>
            <w:noWrap/>
            <w:vAlign w:val="center"/>
            <w:hideMark/>
          </w:tcPr>
          <w:p w14:paraId="625D39A9"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3</w:t>
            </w:r>
          </w:p>
        </w:tc>
        <w:tc>
          <w:tcPr>
            <w:tcW w:w="4956" w:type="dxa"/>
            <w:vMerge w:val="restart"/>
            <w:shd w:val="clear" w:color="auto" w:fill="auto"/>
            <w:vAlign w:val="center"/>
            <w:hideMark/>
          </w:tcPr>
          <w:p w14:paraId="2D79F1AC"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1.</w:t>
            </w:r>
            <w:r w:rsidRPr="00607FEC">
              <w:rPr>
                <w:rFonts w:cs="Times New Roman"/>
                <w:color w:val="000000"/>
                <w:kern w:val="0"/>
                <w:sz w:val="12"/>
                <w:szCs w:val="12"/>
              </w:rPr>
              <w:t>在中华人民共和国境内依法注册、具有法人资格的制造商或代理商；</w:t>
            </w:r>
          </w:p>
          <w:p w14:paraId="3A390ED4"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2.</w:t>
            </w:r>
            <w:r w:rsidRPr="00607FEC">
              <w:rPr>
                <w:rFonts w:cs="Times New Roman"/>
                <w:color w:val="000000"/>
                <w:kern w:val="0"/>
                <w:sz w:val="12"/>
                <w:szCs w:val="12"/>
              </w:rPr>
              <w:t>投标人应提供近三年（</w:t>
            </w:r>
            <w:r w:rsidRPr="00607FEC">
              <w:rPr>
                <w:rFonts w:cs="Times New Roman"/>
                <w:color w:val="000000"/>
                <w:kern w:val="0"/>
                <w:sz w:val="12"/>
                <w:szCs w:val="12"/>
              </w:rPr>
              <w:t>2021</w:t>
            </w:r>
            <w:r w:rsidRPr="00607FEC">
              <w:rPr>
                <w:rFonts w:cs="Times New Roman"/>
                <w:color w:val="000000"/>
                <w:kern w:val="0"/>
                <w:sz w:val="12"/>
                <w:szCs w:val="12"/>
              </w:rPr>
              <w:t>年</w:t>
            </w:r>
            <w:r w:rsidRPr="00607FEC">
              <w:rPr>
                <w:rFonts w:cs="Times New Roman"/>
                <w:color w:val="000000"/>
                <w:kern w:val="0"/>
                <w:sz w:val="12"/>
                <w:szCs w:val="12"/>
              </w:rPr>
              <w:t>-2023</w:t>
            </w:r>
            <w:r w:rsidRPr="00607FEC">
              <w:rPr>
                <w:rFonts w:cs="Times New Roman"/>
                <w:color w:val="000000"/>
                <w:kern w:val="0"/>
                <w:sz w:val="12"/>
                <w:szCs w:val="12"/>
              </w:rPr>
              <w:t>年）内任意一年经会计师事务所或审计机构审计的符合国家规定的财务会计报表；</w:t>
            </w:r>
          </w:p>
          <w:p w14:paraId="39FAAF76"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3.</w:t>
            </w:r>
            <w:r w:rsidRPr="00607FEC">
              <w:rPr>
                <w:rFonts w:cs="Times New Roman"/>
                <w:color w:val="000000"/>
                <w:kern w:val="0"/>
                <w:sz w:val="12"/>
                <w:szCs w:val="12"/>
              </w:rPr>
              <w:t>投标人为制造商的，须满足：</w:t>
            </w:r>
          </w:p>
          <w:p w14:paraId="612A108A"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具有</w:t>
            </w:r>
            <w:r w:rsidRPr="00607FEC">
              <w:rPr>
                <w:rFonts w:cs="Times New Roman"/>
                <w:kern w:val="0"/>
                <w:sz w:val="12"/>
                <w:szCs w:val="12"/>
              </w:rPr>
              <w:t>车站调度交换机近</w:t>
            </w:r>
            <w:r w:rsidRPr="00607FEC">
              <w:rPr>
                <w:rFonts w:cs="Times New Roman"/>
                <w:color w:val="000000"/>
                <w:kern w:val="0"/>
                <w:sz w:val="12"/>
                <w:szCs w:val="12"/>
              </w:rPr>
              <w:t>五年（自</w:t>
            </w:r>
            <w:r w:rsidRPr="00607FEC">
              <w:rPr>
                <w:rFonts w:cs="Times New Roman"/>
                <w:color w:val="000000"/>
                <w:kern w:val="0"/>
                <w:sz w:val="12"/>
                <w:szCs w:val="12"/>
              </w:rPr>
              <w:t>2019</w:t>
            </w:r>
            <w:r w:rsidRPr="00607FEC">
              <w:rPr>
                <w:rFonts w:cs="Times New Roman"/>
                <w:color w:val="000000"/>
                <w:kern w:val="0"/>
                <w:sz w:val="12"/>
                <w:szCs w:val="12"/>
              </w:rPr>
              <w:t>年</w:t>
            </w:r>
            <w:r w:rsidRPr="00607FEC">
              <w:rPr>
                <w:rFonts w:cs="Times New Roman"/>
                <w:color w:val="000000"/>
                <w:kern w:val="0"/>
                <w:sz w:val="12"/>
                <w:szCs w:val="12"/>
              </w:rPr>
              <w:t>12</w:t>
            </w:r>
            <w:r w:rsidRPr="00607FEC">
              <w:rPr>
                <w:rFonts w:cs="Times New Roman"/>
                <w:color w:val="000000"/>
                <w:kern w:val="0"/>
                <w:sz w:val="12"/>
                <w:szCs w:val="12"/>
              </w:rPr>
              <w:t>月至投标截止日，以合同签订时间为准）的供货业绩（含代理商业绩），须提供对应的合同协议书、进场验收证书（或验收文件等）或对应的用户使用证明；</w:t>
            </w:r>
          </w:p>
          <w:p w14:paraId="25C973B2"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4.</w:t>
            </w:r>
            <w:r w:rsidRPr="00607FEC">
              <w:rPr>
                <w:rFonts w:cs="Times New Roman"/>
                <w:color w:val="000000"/>
                <w:kern w:val="0"/>
                <w:sz w:val="12"/>
                <w:szCs w:val="12"/>
              </w:rPr>
              <w:t>投标人为代理商的，须满足：</w:t>
            </w:r>
          </w:p>
          <w:p w14:paraId="3C684D47"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4.1</w:t>
            </w:r>
            <w:r w:rsidRPr="00607FEC">
              <w:rPr>
                <w:rFonts w:cs="Times New Roman"/>
                <w:color w:val="000000"/>
                <w:kern w:val="0"/>
                <w:sz w:val="12"/>
                <w:szCs w:val="12"/>
              </w:rPr>
              <w:t>须持有所代理制造商的对本项目的唯一授权委托书，且制造商承诺提供售后技术服务；</w:t>
            </w:r>
          </w:p>
          <w:p w14:paraId="08697FED"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4.2</w:t>
            </w:r>
            <w:r w:rsidRPr="00607FEC">
              <w:rPr>
                <w:rFonts w:cs="Times New Roman"/>
                <w:color w:val="000000"/>
                <w:kern w:val="0"/>
                <w:sz w:val="12"/>
                <w:szCs w:val="12"/>
              </w:rPr>
              <w:t>所代理的制造商须满足上述第</w:t>
            </w:r>
            <w:r w:rsidRPr="00607FEC">
              <w:rPr>
                <w:rFonts w:cs="Times New Roman"/>
                <w:color w:val="000000"/>
                <w:kern w:val="0"/>
                <w:sz w:val="12"/>
                <w:szCs w:val="12"/>
              </w:rPr>
              <w:t>3</w:t>
            </w:r>
            <w:r w:rsidRPr="00607FEC">
              <w:rPr>
                <w:rFonts w:cs="Times New Roman"/>
                <w:color w:val="000000"/>
                <w:kern w:val="0"/>
                <w:sz w:val="12"/>
                <w:szCs w:val="12"/>
              </w:rPr>
              <w:t>条要求，并附相应证明材料。</w:t>
            </w:r>
          </w:p>
          <w:p w14:paraId="525D667C"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5.</w:t>
            </w:r>
            <w:r w:rsidRPr="00607FEC">
              <w:rPr>
                <w:rFonts w:cs="Times New Roman"/>
                <w:color w:val="000000"/>
                <w:kern w:val="0"/>
                <w:sz w:val="12"/>
                <w:szCs w:val="12"/>
              </w:rPr>
              <w:t>车站值班台、数字语音记录仪允许外购</w:t>
            </w:r>
            <w:r w:rsidRPr="00607FEC">
              <w:rPr>
                <w:rFonts w:cs="Times New Roman" w:hint="eastAsia"/>
                <w:color w:val="000000"/>
                <w:kern w:val="0"/>
                <w:sz w:val="12"/>
                <w:szCs w:val="12"/>
              </w:rPr>
              <w:t>。</w:t>
            </w:r>
          </w:p>
        </w:tc>
        <w:tc>
          <w:tcPr>
            <w:tcW w:w="537" w:type="dxa"/>
            <w:vMerge w:val="restart"/>
            <w:shd w:val="clear" w:color="auto" w:fill="auto"/>
            <w:noWrap/>
            <w:vAlign w:val="center"/>
            <w:hideMark/>
          </w:tcPr>
          <w:p w14:paraId="64319682"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2025</w:t>
            </w:r>
            <w:r w:rsidRPr="00607FEC">
              <w:rPr>
                <w:rFonts w:cs="Times New Roman" w:hint="eastAsia"/>
                <w:color w:val="000000"/>
                <w:kern w:val="0"/>
                <w:sz w:val="12"/>
                <w:szCs w:val="12"/>
              </w:rPr>
              <w:t>年</w:t>
            </w:r>
            <w:r w:rsidRPr="00607FEC">
              <w:rPr>
                <w:rFonts w:cs="Times New Roman" w:hint="eastAsia"/>
                <w:color w:val="000000"/>
                <w:kern w:val="0"/>
                <w:sz w:val="12"/>
                <w:szCs w:val="12"/>
              </w:rPr>
              <w:t>7</w:t>
            </w:r>
            <w:r w:rsidRPr="00607FEC">
              <w:rPr>
                <w:rFonts w:cs="Times New Roman" w:hint="eastAsia"/>
                <w:color w:val="000000"/>
                <w:kern w:val="0"/>
                <w:sz w:val="12"/>
                <w:szCs w:val="12"/>
              </w:rPr>
              <w:t>月</w:t>
            </w:r>
          </w:p>
        </w:tc>
        <w:tc>
          <w:tcPr>
            <w:tcW w:w="473" w:type="dxa"/>
            <w:shd w:val="clear" w:color="auto" w:fill="auto"/>
            <w:noWrap/>
            <w:vAlign w:val="center"/>
            <w:hideMark/>
          </w:tcPr>
          <w:p w14:paraId="5D67F5E8"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施工工地</w:t>
            </w:r>
          </w:p>
        </w:tc>
        <w:tc>
          <w:tcPr>
            <w:tcW w:w="722" w:type="dxa"/>
            <w:shd w:val="clear" w:color="auto" w:fill="auto"/>
            <w:noWrap/>
            <w:vAlign w:val="center"/>
            <w:hideMark/>
          </w:tcPr>
          <w:p w14:paraId="7851A8B5"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完好含卸车</w:t>
            </w:r>
          </w:p>
        </w:tc>
        <w:tc>
          <w:tcPr>
            <w:tcW w:w="690" w:type="dxa"/>
            <w:shd w:val="clear" w:color="auto" w:fill="auto"/>
            <w:noWrap/>
            <w:vAlign w:val="center"/>
            <w:hideMark/>
          </w:tcPr>
          <w:p w14:paraId="6FC22961"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中铁电气化局</w:t>
            </w:r>
          </w:p>
        </w:tc>
        <w:tc>
          <w:tcPr>
            <w:tcW w:w="1319" w:type="dxa"/>
            <w:shd w:val="clear" w:color="auto" w:fill="auto"/>
            <w:noWrap/>
            <w:vAlign w:val="center"/>
          </w:tcPr>
          <w:p w14:paraId="06BA515F" w14:textId="77777777" w:rsidR="00682ECC" w:rsidRPr="00607FEC" w:rsidRDefault="00682ECC" w:rsidP="00B852BC">
            <w:pPr>
              <w:widowControl/>
              <w:jc w:val="left"/>
              <w:rPr>
                <w:rFonts w:cs="Times New Roman"/>
                <w:color w:val="000000"/>
                <w:kern w:val="0"/>
                <w:sz w:val="12"/>
                <w:szCs w:val="12"/>
              </w:rPr>
            </w:pPr>
          </w:p>
        </w:tc>
      </w:tr>
      <w:tr w:rsidR="00682ECC" w:rsidRPr="00607FEC" w14:paraId="7CE52658" w14:textId="77777777" w:rsidTr="00B852BC">
        <w:trPr>
          <w:trHeight w:val="1005"/>
          <w:jc w:val="center"/>
        </w:trPr>
        <w:tc>
          <w:tcPr>
            <w:tcW w:w="520" w:type="dxa"/>
            <w:shd w:val="clear" w:color="auto" w:fill="auto"/>
            <w:noWrap/>
            <w:vAlign w:val="center"/>
            <w:hideMark/>
          </w:tcPr>
          <w:p w14:paraId="3A5812E4"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2</w:t>
            </w:r>
          </w:p>
        </w:tc>
        <w:tc>
          <w:tcPr>
            <w:tcW w:w="651" w:type="dxa"/>
            <w:vMerge/>
            <w:vAlign w:val="center"/>
            <w:hideMark/>
          </w:tcPr>
          <w:p w14:paraId="5FD98706" w14:textId="77777777" w:rsidR="00682ECC" w:rsidRPr="00607FEC" w:rsidRDefault="00682ECC" w:rsidP="00B852BC">
            <w:pPr>
              <w:widowControl/>
              <w:jc w:val="center"/>
              <w:rPr>
                <w:rFonts w:cs="Times New Roman"/>
                <w:color w:val="000000"/>
                <w:kern w:val="0"/>
                <w:sz w:val="12"/>
                <w:szCs w:val="12"/>
              </w:rPr>
            </w:pPr>
          </w:p>
        </w:tc>
        <w:tc>
          <w:tcPr>
            <w:tcW w:w="567" w:type="dxa"/>
            <w:vMerge/>
            <w:shd w:val="clear" w:color="auto" w:fill="auto"/>
            <w:noWrap/>
            <w:vAlign w:val="center"/>
            <w:hideMark/>
          </w:tcPr>
          <w:p w14:paraId="371DD4FC" w14:textId="77777777" w:rsidR="00682ECC" w:rsidRPr="00607FEC" w:rsidRDefault="00682ECC" w:rsidP="00B852BC">
            <w:pPr>
              <w:widowControl/>
              <w:jc w:val="center"/>
              <w:rPr>
                <w:rFonts w:cs="Times New Roman"/>
                <w:color w:val="000000"/>
                <w:kern w:val="0"/>
                <w:sz w:val="12"/>
                <w:szCs w:val="12"/>
              </w:rPr>
            </w:pPr>
          </w:p>
        </w:tc>
        <w:tc>
          <w:tcPr>
            <w:tcW w:w="1005" w:type="dxa"/>
            <w:shd w:val="clear" w:color="auto" w:fill="auto"/>
            <w:noWrap/>
            <w:vAlign w:val="center"/>
            <w:hideMark/>
          </w:tcPr>
          <w:p w14:paraId="0E809F4B"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车站值班台</w:t>
            </w:r>
          </w:p>
        </w:tc>
        <w:tc>
          <w:tcPr>
            <w:tcW w:w="1931" w:type="dxa"/>
            <w:shd w:val="clear" w:color="auto" w:fill="auto"/>
            <w:noWrap/>
            <w:vAlign w:val="center"/>
            <w:hideMark/>
          </w:tcPr>
          <w:p w14:paraId="776BA841"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触摸屏式</w:t>
            </w:r>
          </w:p>
        </w:tc>
        <w:tc>
          <w:tcPr>
            <w:tcW w:w="510" w:type="dxa"/>
            <w:shd w:val="clear" w:color="auto" w:fill="auto"/>
            <w:noWrap/>
            <w:vAlign w:val="center"/>
            <w:hideMark/>
          </w:tcPr>
          <w:p w14:paraId="7822C5AA"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套</w:t>
            </w:r>
          </w:p>
        </w:tc>
        <w:tc>
          <w:tcPr>
            <w:tcW w:w="511" w:type="dxa"/>
            <w:shd w:val="clear" w:color="auto" w:fill="auto"/>
            <w:noWrap/>
            <w:vAlign w:val="center"/>
            <w:hideMark/>
          </w:tcPr>
          <w:p w14:paraId="6905F4EE"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3</w:t>
            </w:r>
          </w:p>
        </w:tc>
        <w:tc>
          <w:tcPr>
            <w:tcW w:w="4956" w:type="dxa"/>
            <w:vMerge/>
            <w:vAlign w:val="center"/>
            <w:hideMark/>
          </w:tcPr>
          <w:p w14:paraId="24923723" w14:textId="77777777" w:rsidR="00682ECC" w:rsidRPr="00607FEC" w:rsidRDefault="00682ECC" w:rsidP="00B852BC">
            <w:pPr>
              <w:widowControl/>
              <w:jc w:val="left"/>
              <w:rPr>
                <w:rFonts w:cs="Times New Roman"/>
                <w:color w:val="000000"/>
                <w:kern w:val="0"/>
                <w:sz w:val="12"/>
                <w:szCs w:val="12"/>
              </w:rPr>
            </w:pPr>
          </w:p>
        </w:tc>
        <w:tc>
          <w:tcPr>
            <w:tcW w:w="537" w:type="dxa"/>
            <w:vMerge/>
            <w:shd w:val="clear" w:color="auto" w:fill="auto"/>
            <w:noWrap/>
            <w:vAlign w:val="center"/>
            <w:hideMark/>
          </w:tcPr>
          <w:p w14:paraId="185A0A0A" w14:textId="77777777" w:rsidR="00682ECC" w:rsidRPr="00607FEC" w:rsidRDefault="00682ECC" w:rsidP="00B852BC">
            <w:pPr>
              <w:widowControl/>
              <w:jc w:val="center"/>
              <w:rPr>
                <w:rFonts w:cs="Times New Roman"/>
                <w:color w:val="000000"/>
                <w:kern w:val="0"/>
                <w:sz w:val="12"/>
                <w:szCs w:val="12"/>
              </w:rPr>
            </w:pPr>
          </w:p>
        </w:tc>
        <w:tc>
          <w:tcPr>
            <w:tcW w:w="473" w:type="dxa"/>
            <w:shd w:val="clear" w:color="auto" w:fill="auto"/>
            <w:noWrap/>
            <w:vAlign w:val="center"/>
            <w:hideMark/>
          </w:tcPr>
          <w:p w14:paraId="513FF0AE"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施工工地</w:t>
            </w:r>
          </w:p>
        </w:tc>
        <w:tc>
          <w:tcPr>
            <w:tcW w:w="722" w:type="dxa"/>
            <w:shd w:val="clear" w:color="auto" w:fill="auto"/>
            <w:noWrap/>
            <w:vAlign w:val="center"/>
            <w:hideMark/>
          </w:tcPr>
          <w:p w14:paraId="1D013541"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完好含卸车</w:t>
            </w:r>
          </w:p>
        </w:tc>
        <w:tc>
          <w:tcPr>
            <w:tcW w:w="690" w:type="dxa"/>
            <w:shd w:val="clear" w:color="auto" w:fill="auto"/>
            <w:noWrap/>
            <w:vAlign w:val="center"/>
            <w:hideMark/>
          </w:tcPr>
          <w:p w14:paraId="5264C39F"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中铁电气化局</w:t>
            </w:r>
          </w:p>
        </w:tc>
        <w:tc>
          <w:tcPr>
            <w:tcW w:w="1319" w:type="dxa"/>
            <w:shd w:val="clear" w:color="auto" w:fill="auto"/>
            <w:noWrap/>
            <w:vAlign w:val="center"/>
          </w:tcPr>
          <w:p w14:paraId="7EB18FC3" w14:textId="77777777" w:rsidR="00682ECC" w:rsidRPr="00607FEC" w:rsidRDefault="00682ECC" w:rsidP="00B852BC">
            <w:pPr>
              <w:widowControl/>
              <w:jc w:val="left"/>
              <w:rPr>
                <w:rFonts w:cs="Times New Roman"/>
                <w:color w:val="000000"/>
                <w:kern w:val="0"/>
                <w:sz w:val="12"/>
                <w:szCs w:val="12"/>
              </w:rPr>
            </w:pPr>
          </w:p>
        </w:tc>
      </w:tr>
      <w:tr w:rsidR="00682ECC" w:rsidRPr="00607FEC" w14:paraId="6E6991E1" w14:textId="77777777" w:rsidTr="00B852BC">
        <w:trPr>
          <w:trHeight w:val="1005"/>
          <w:jc w:val="center"/>
        </w:trPr>
        <w:tc>
          <w:tcPr>
            <w:tcW w:w="520" w:type="dxa"/>
            <w:shd w:val="clear" w:color="auto" w:fill="auto"/>
            <w:noWrap/>
            <w:vAlign w:val="center"/>
            <w:hideMark/>
          </w:tcPr>
          <w:p w14:paraId="7DFCFD91"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3</w:t>
            </w:r>
          </w:p>
        </w:tc>
        <w:tc>
          <w:tcPr>
            <w:tcW w:w="651" w:type="dxa"/>
            <w:vMerge/>
            <w:vAlign w:val="center"/>
            <w:hideMark/>
          </w:tcPr>
          <w:p w14:paraId="6D98B0C3" w14:textId="77777777" w:rsidR="00682ECC" w:rsidRPr="00607FEC" w:rsidRDefault="00682ECC" w:rsidP="00B852BC">
            <w:pPr>
              <w:widowControl/>
              <w:jc w:val="center"/>
              <w:rPr>
                <w:rFonts w:cs="Times New Roman"/>
                <w:color w:val="000000"/>
                <w:kern w:val="0"/>
                <w:sz w:val="12"/>
                <w:szCs w:val="12"/>
              </w:rPr>
            </w:pPr>
          </w:p>
        </w:tc>
        <w:tc>
          <w:tcPr>
            <w:tcW w:w="567" w:type="dxa"/>
            <w:vMerge/>
            <w:shd w:val="clear" w:color="auto" w:fill="auto"/>
            <w:noWrap/>
            <w:vAlign w:val="center"/>
            <w:hideMark/>
          </w:tcPr>
          <w:p w14:paraId="15C22A3E" w14:textId="77777777" w:rsidR="00682ECC" w:rsidRPr="00607FEC" w:rsidRDefault="00682ECC" w:rsidP="00B852BC">
            <w:pPr>
              <w:widowControl/>
              <w:jc w:val="center"/>
              <w:rPr>
                <w:rFonts w:cs="Times New Roman"/>
                <w:color w:val="000000"/>
                <w:kern w:val="0"/>
                <w:sz w:val="12"/>
                <w:szCs w:val="12"/>
              </w:rPr>
            </w:pPr>
          </w:p>
        </w:tc>
        <w:tc>
          <w:tcPr>
            <w:tcW w:w="1005" w:type="dxa"/>
            <w:shd w:val="clear" w:color="auto" w:fill="auto"/>
            <w:noWrap/>
            <w:vAlign w:val="center"/>
            <w:hideMark/>
          </w:tcPr>
          <w:p w14:paraId="54DB5AAC"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数字语音记录仪</w:t>
            </w:r>
          </w:p>
        </w:tc>
        <w:tc>
          <w:tcPr>
            <w:tcW w:w="1931" w:type="dxa"/>
            <w:shd w:val="clear" w:color="auto" w:fill="auto"/>
            <w:noWrap/>
            <w:vAlign w:val="center"/>
            <w:hideMark/>
          </w:tcPr>
          <w:p w14:paraId="7E3263A1"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8</w:t>
            </w:r>
            <w:r w:rsidRPr="00607FEC">
              <w:rPr>
                <w:rFonts w:cs="Times New Roman"/>
                <w:color w:val="000000"/>
                <w:kern w:val="0"/>
                <w:sz w:val="12"/>
                <w:szCs w:val="12"/>
              </w:rPr>
              <w:t>路，不小于</w:t>
            </w:r>
            <w:r w:rsidRPr="00607FEC">
              <w:rPr>
                <w:rFonts w:cs="Times New Roman"/>
                <w:color w:val="000000"/>
                <w:kern w:val="0"/>
                <w:sz w:val="12"/>
                <w:szCs w:val="12"/>
              </w:rPr>
              <w:t>768</w:t>
            </w:r>
            <w:r w:rsidRPr="00607FEC">
              <w:rPr>
                <w:rFonts w:cs="Times New Roman"/>
                <w:color w:val="000000"/>
                <w:kern w:val="0"/>
                <w:sz w:val="12"/>
                <w:szCs w:val="12"/>
              </w:rPr>
              <w:t>小时</w:t>
            </w:r>
          </w:p>
        </w:tc>
        <w:tc>
          <w:tcPr>
            <w:tcW w:w="510" w:type="dxa"/>
            <w:shd w:val="clear" w:color="auto" w:fill="auto"/>
            <w:noWrap/>
            <w:vAlign w:val="center"/>
            <w:hideMark/>
          </w:tcPr>
          <w:p w14:paraId="6E250DF3"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套</w:t>
            </w:r>
          </w:p>
        </w:tc>
        <w:tc>
          <w:tcPr>
            <w:tcW w:w="511" w:type="dxa"/>
            <w:shd w:val="clear" w:color="auto" w:fill="auto"/>
            <w:noWrap/>
            <w:vAlign w:val="center"/>
            <w:hideMark/>
          </w:tcPr>
          <w:p w14:paraId="1E9503DD"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3</w:t>
            </w:r>
          </w:p>
        </w:tc>
        <w:tc>
          <w:tcPr>
            <w:tcW w:w="4956" w:type="dxa"/>
            <w:vMerge/>
            <w:vAlign w:val="center"/>
            <w:hideMark/>
          </w:tcPr>
          <w:p w14:paraId="55C1EE01" w14:textId="77777777" w:rsidR="00682ECC" w:rsidRPr="00607FEC" w:rsidRDefault="00682ECC" w:rsidP="00B852BC">
            <w:pPr>
              <w:widowControl/>
              <w:jc w:val="left"/>
              <w:rPr>
                <w:rFonts w:cs="Times New Roman"/>
                <w:color w:val="000000"/>
                <w:kern w:val="0"/>
                <w:sz w:val="12"/>
                <w:szCs w:val="12"/>
              </w:rPr>
            </w:pPr>
          </w:p>
        </w:tc>
        <w:tc>
          <w:tcPr>
            <w:tcW w:w="537" w:type="dxa"/>
            <w:vMerge/>
            <w:shd w:val="clear" w:color="auto" w:fill="auto"/>
            <w:noWrap/>
            <w:vAlign w:val="center"/>
            <w:hideMark/>
          </w:tcPr>
          <w:p w14:paraId="0BD48976" w14:textId="77777777" w:rsidR="00682ECC" w:rsidRPr="00607FEC" w:rsidRDefault="00682ECC" w:rsidP="00B852BC">
            <w:pPr>
              <w:widowControl/>
              <w:jc w:val="center"/>
              <w:rPr>
                <w:rFonts w:cs="Times New Roman"/>
                <w:color w:val="000000"/>
                <w:kern w:val="0"/>
                <w:sz w:val="12"/>
                <w:szCs w:val="12"/>
              </w:rPr>
            </w:pPr>
          </w:p>
        </w:tc>
        <w:tc>
          <w:tcPr>
            <w:tcW w:w="473" w:type="dxa"/>
            <w:shd w:val="clear" w:color="auto" w:fill="auto"/>
            <w:noWrap/>
            <w:vAlign w:val="center"/>
            <w:hideMark/>
          </w:tcPr>
          <w:p w14:paraId="73AA3953"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施工工地</w:t>
            </w:r>
          </w:p>
        </w:tc>
        <w:tc>
          <w:tcPr>
            <w:tcW w:w="722" w:type="dxa"/>
            <w:shd w:val="clear" w:color="auto" w:fill="auto"/>
            <w:noWrap/>
            <w:vAlign w:val="center"/>
            <w:hideMark/>
          </w:tcPr>
          <w:p w14:paraId="64660D9A"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完好含卸车</w:t>
            </w:r>
          </w:p>
        </w:tc>
        <w:tc>
          <w:tcPr>
            <w:tcW w:w="690" w:type="dxa"/>
            <w:shd w:val="clear" w:color="auto" w:fill="auto"/>
            <w:noWrap/>
            <w:vAlign w:val="center"/>
            <w:hideMark/>
          </w:tcPr>
          <w:p w14:paraId="3A24AEE1"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中铁电气化局</w:t>
            </w:r>
          </w:p>
        </w:tc>
        <w:tc>
          <w:tcPr>
            <w:tcW w:w="1319" w:type="dxa"/>
            <w:shd w:val="clear" w:color="auto" w:fill="auto"/>
            <w:noWrap/>
            <w:vAlign w:val="center"/>
          </w:tcPr>
          <w:p w14:paraId="2C55B0BA" w14:textId="77777777" w:rsidR="00682ECC" w:rsidRPr="00607FEC" w:rsidRDefault="00682ECC" w:rsidP="00B852BC">
            <w:pPr>
              <w:widowControl/>
              <w:jc w:val="left"/>
              <w:rPr>
                <w:rFonts w:cs="Times New Roman"/>
                <w:color w:val="000000"/>
                <w:kern w:val="0"/>
                <w:sz w:val="12"/>
                <w:szCs w:val="12"/>
              </w:rPr>
            </w:pPr>
          </w:p>
        </w:tc>
      </w:tr>
      <w:tr w:rsidR="00682ECC" w:rsidRPr="00607FEC" w14:paraId="2048E248" w14:textId="77777777" w:rsidTr="00B852BC">
        <w:trPr>
          <w:trHeight w:val="751"/>
          <w:jc w:val="center"/>
        </w:trPr>
        <w:tc>
          <w:tcPr>
            <w:tcW w:w="520" w:type="dxa"/>
            <w:shd w:val="clear" w:color="auto" w:fill="auto"/>
            <w:noWrap/>
            <w:vAlign w:val="center"/>
            <w:hideMark/>
          </w:tcPr>
          <w:p w14:paraId="630E5B6C"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4</w:t>
            </w:r>
          </w:p>
        </w:tc>
        <w:tc>
          <w:tcPr>
            <w:tcW w:w="651" w:type="dxa"/>
            <w:vMerge w:val="restart"/>
            <w:shd w:val="clear" w:color="auto" w:fill="auto"/>
            <w:noWrap/>
            <w:vAlign w:val="center"/>
            <w:hideMark/>
          </w:tcPr>
          <w:p w14:paraId="38D633A6"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TX04</w:t>
            </w:r>
          </w:p>
        </w:tc>
        <w:tc>
          <w:tcPr>
            <w:tcW w:w="567" w:type="dxa"/>
            <w:vMerge w:val="restart"/>
            <w:shd w:val="clear" w:color="auto" w:fill="auto"/>
            <w:noWrap/>
            <w:vAlign w:val="center"/>
            <w:hideMark/>
          </w:tcPr>
          <w:p w14:paraId="0C8832FC"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通信电源设备</w:t>
            </w:r>
          </w:p>
        </w:tc>
        <w:tc>
          <w:tcPr>
            <w:tcW w:w="1005" w:type="dxa"/>
            <w:shd w:val="clear" w:color="auto" w:fill="auto"/>
            <w:noWrap/>
            <w:vAlign w:val="center"/>
            <w:hideMark/>
          </w:tcPr>
          <w:p w14:paraId="6018B28E"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-48V</w:t>
            </w:r>
            <w:r w:rsidRPr="00607FEC">
              <w:rPr>
                <w:rFonts w:cs="Times New Roman"/>
                <w:color w:val="000000"/>
                <w:kern w:val="0"/>
                <w:sz w:val="12"/>
                <w:szCs w:val="12"/>
              </w:rPr>
              <w:t>高频开关电源（</w:t>
            </w:r>
            <w:r w:rsidRPr="00607FEC">
              <w:rPr>
                <w:rFonts w:cs="Times New Roman"/>
                <w:color w:val="000000"/>
                <w:kern w:val="0"/>
                <w:sz w:val="12"/>
                <w:szCs w:val="12"/>
              </w:rPr>
              <w:t>150A</w:t>
            </w:r>
            <w:r w:rsidRPr="00607FEC">
              <w:rPr>
                <w:rFonts w:cs="Times New Roman"/>
                <w:color w:val="000000"/>
                <w:kern w:val="0"/>
                <w:sz w:val="12"/>
                <w:szCs w:val="12"/>
              </w:rPr>
              <w:t>）</w:t>
            </w:r>
          </w:p>
        </w:tc>
        <w:tc>
          <w:tcPr>
            <w:tcW w:w="1931" w:type="dxa"/>
            <w:shd w:val="clear" w:color="auto" w:fill="auto"/>
            <w:noWrap/>
            <w:vAlign w:val="center"/>
            <w:hideMark/>
          </w:tcPr>
          <w:p w14:paraId="2E86D697"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不低于</w:t>
            </w:r>
            <w:r w:rsidRPr="00607FEC">
              <w:rPr>
                <w:rFonts w:cs="Times New Roman"/>
                <w:color w:val="000000"/>
                <w:kern w:val="0"/>
                <w:sz w:val="12"/>
                <w:szCs w:val="12"/>
              </w:rPr>
              <w:t>3*50A+50A</w:t>
            </w:r>
          </w:p>
        </w:tc>
        <w:tc>
          <w:tcPr>
            <w:tcW w:w="510" w:type="dxa"/>
            <w:shd w:val="clear" w:color="auto" w:fill="auto"/>
            <w:noWrap/>
            <w:vAlign w:val="center"/>
            <w:hideMark/>
          </w:tcPr>
          <w:p w14:paraId="05E33301"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套</w:t>
            </w:r>
          </w:p>
        </w:tc>
        <w:tc>
          <w:tcPr>
            <w:tcW w:w="511" w:type="dxa"/>
            <w:shd w:val="clear" w:color="auto" w:fill="auto"/>
            <w:noWrap/>
            <w:vAlign w:val="center"/>
            <w:hideMark/>
          </w:tcPr>
          <w:p w14:paraId="78286029"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7</w:t>
            </w:r>
          </w:p>
        </w:tc>
        <w:tc>
          <w:tcPr>
            <w:tcW w:w="4956" w:type="dxa"/>
            <w:vMerge w:val="restart"/>
            <w:shd w:val="clear" w:color="auto" w:fill="auto"/>
            <w:vAlign w:val="center"/>
            <w:hideMark/>
          </w:tcPr>
          <w:p w14:paraId="3FFE0AF1"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1.</w:t>
            </w:r>
            <w:r w:rsidRPr="00607FEC">
              <w:rPr>
                <w:rFonts w:cs="Times New Roman"/>
                <w:color w:val="000000"/>
                <w:kern w:val="0"/>
                <w:sz w:val="12"/>
                <w:szCs w:val="12"/>
              </w:rPr>
              <w:t>在中华人民共和国境内依法注册、具有法人资格的制造商或代理商；</w:t>
            </w:r>
          </w:p>
          <w:p w14:paraId="0FF697BF"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2.</w:t>
            </w:r>
            <w:r w:rsidRPr="00607FEC">
              <w:rPr>
                <w:rFonts w:cs="Times New Roman"/>
                <w:color w:val="000000"/>
                <w:kern w:val="0"/>
                <w:sz w:val="12"/>
                <w:szCs w:val="12"/>
              </w:rPr>
              <w:t>投标人应提供近三年（</w:t>
            </w:r>
            <w:r w:rsidRPr="00607FEC">
              <w:rPr>
                <w:rFonts w:cs="Times New Roman"/>
                <w:color w:val="000000"/>
                <w:kern w:val="0"/>
                <w:sz w:val="12"/>
                <w:szCs w:val="12"/>
              </w:rPr>
              <w:t>2021</w:t>
            </w:r>
            <w:r w:rsidRPr="00607FEC">
              <w:rPr>
                <w:rFonts w:cs="Times New Roman"/>
                <w:color w:val="000000"/>
                <w:kern w:val="0"/>
                <w:sz w:val="12"/>
                <w:szCs w:val="12"/>
              </w:rPr>
              <w:t>年</w:t>
            </w:r>
            <w:r w:rsidRPr="00607FEC">
              <w:rPr>
                <w:rFonts w:cs="Times New Roman"/>
                <w:color w:val="000000"/>
                <w:kern w:val="0"/>
                <w:sz w:val="12"/>
                <w:szCs w:val="12"/>
              </w:rPr>
              <w:t>-2023</w:t>
            </w:r>
            <w:r w:rsidRPr="00607FEC">
              <w:rPr>
                <w:rFonts w:cs="Times New Roman"/>
                <w:color w:val="000000"/>
                <w:kern w:val="0"/>
                <w:sz w:val="12"/>
                <w:szCs w:val="12"/>
              </w:rPr>
              <w:t>年）内任意一年经会计师事务所或审计机构审计的符合国家规定的财务会计报表；</w:t>
            </w:r>
          </w:p>
          <w:p w14:paraId="022825D9"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3.</w:t>
            </w:r>
            <w:r w:rsidRPr="00607FEC">
              <w:rPr>
                <w:rFonts w:cs="Times New Roman"/>
                <w:color w:val="000000"/>
                <w:kern w:val="0"/>
                <w:sz w:val="12"/>
                <w:szCs w:val="12"/>
              </w:rPr>
              <w:t>投标人为制造商的，须满足：</w:t>
            </w:r>
          </w:p>
          <w:p w14:paraId="5940B6CB"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具有高频开关电源近五年（自</w:t>
            </w:r>
            <w:r w:rsidRPr="00607FEC">
              <w:rPr>
                <w:rFonts w:cs="Times New Roman"/>
                <w:color w:val="000000"/>
                <w:kern w:val="0"/>
                <w:sz w:val="12"/>
                <w:szCs w:val="12"/>
              </w:rPr>
              <w:t>2019</w:t>
            </w:r>
            <w:r w:rsidRPr="00607FEC">
              <w:rPr>
                <w:rFonts w:cs="Times New Roman"/>
                <w:color w:val="000000"/>
                <w:kern w:val="0"/>
                <w:sz w:val="12"/>
                <w:szCs w:val="12"/>
              </w:rPr>
              <w:t>年</w:t>
            </w:r>
            <w:r w:rsidRPr="00607FEC">
              <w:rPr>
                <w:rFonts w:cs="Times New Roman"/>
                <w:color w:val="000000"/>
                <w:kern w:val="0"/>
                <w:sz w:val="12"/>
                <w:szCs w:val="12"/>
              </w:rPr>
              <w:t>12</w:t>
            </w:r>
            <w:r w:rsidRPr="00607FEC">
              <w:rPr>
                <w:rFonts w:cs="Times New Roman"/>
                <w:color w:val="000000"/>
                <w:kern w:val="0"/>
                <w:sz w:val="12"/>
                <w:szCs w:val="12"/>
              </w:rPr>
              <w:t>月至投标截止日，以合同签订时间为准）的供货业绩（含代理商业绩），须提供对应的合同协议书、进场验收证书（或验收文件等）或对应的用户使用证明；</w:t>
            </w:r>
          </w:p>
          <w:p w14:paraId="22B17619"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4.</w:t>
            </w:r>
            <w:r w:rsidRPr="00607FEC">
              <w:rPr>
                <w:rFonts w:cs="Times New Roman"/>
                <w:color w:val="000000"/>
                <w:kern w:val="0"/>
                <w:sz w:val="12"/>
                <w:szCs w:val="12"/>
              </w:rPr>
              <w:t>投标人为代理商的，须满足：</w:t>
            </w:r>
          </w:p>
          <w:p w14:paraId="0D0C5A3A"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4.1</w:t>
            </w:r>
            <w:r w:rsidRPr="00607FEC">
              <w:rPr>
                <w:rFonts w:cs="Times New Roman"/>
                <w:color w:val="000000"/>
                <w:kern w:val="0"/>
                <w:sz w:val="12"/>
                <w:szCs w:val="12"/>
              </w:rPr>
              <w:t>须持有所代理制造商的对本项目的唯一授权委托书，且制造商承诺提供售后技术服务；</w:t>
            </w:r>
          </w:p>
          <w:p w14:paraId="2DEE1EF0"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4.2</w:t>
            </w:r>
            <w:r w:rsidRPr="00607FEC">
              <w:rPr>
                <w:rFonts w:cs="Times New Roman"/>
                <w:color w:val="000000"/>
                <w:kern w:val="0"/>
                <w:sz w:val="12"/>
                <w:szCs w:val="12"/>
              </w:rPr>
              <w:t>所代理的制造商须满足上述第</w:t>
            </w:r>
            <w:r w:rsidRPr="00607FEC">
              <w:rPr>
                <w:rFonts w:cs="Times New Roman"/>
                <w:color w:val="000000"/>
                <w:kern w:val="0"/>
                <w:sz w:val="12"/>
                <w:szCs w:val="12"/>
              </w:rPr>
              <w:t>3</w:t>
            </w:r>
            <w:r w:rsidRPr="00607FEC">
              <w:rPr>
                <w:rFonts w:cs="Times New Roman"/>
                <w:color w:val="000000"/>
                <w:kern w:val="0"/>
                <w:sz w:val="12"/>
                <w:szCs w:val="12"/>
              </w:rPr>
              <w:t>条要求，并附相应证明材料。</w:t>
            </w:r>
          </w:p>
          <w:p w14:paraId="2325BC0C" w14:textId="77777777" w:rsidR="00682ECC" w:rsidRPr="00607FEC" w:rsidRDefault="00682ECC" w:rsidP="00B852BC">
            <w:pPr>
              <w:widowControl/>
              <w:jc w:val="left"/>
              <w:rPr>
                <w:rFonts w:cs="Times New Roman"/>
                <w:color w:val="000000"/>
                <w:kern w:val="0"/>
                <w:sz w:val="12"/>
                <w:szCs w:val="12"/>
              </w:rPr>
            </w:pPr>
            <w:r w:rsidRPr="00607FEC">
              <w:rPr>
                <w:rFonts w:cs="Times New Roman"/>
                <w:color w:val="000000"/>
                <w:kern w:val="0"/>
                <w:sz w:val="12"/>
                <w:szCs w:val="12"/>
              </w:rPr>
              <w:t>5.</w:t>
            </w:r>
            <w:r w:rsidRPr="00607FEC">
              <w:rPr>
                <w:rFonts w:cs="Times New Roman"/>
                <w:color w:val="000000"/>
                <w:kern w:val="0"/>
                <w:sz w:val="12"/>
                <w:szCs w:val="12"/>
              </w:rPr>
              <w:t>不间断电源、蓄电池组允许外购。</w:t>
            </w:r>
          </w:p>
        </w:tc>
        <w:tc>
          <w:tcPr>
            <w:tcW w:w="537" w:type="dxa"/>
            <w:vMerge w:val="restart"/>
            <w:shd w:val="clear" w:color="auto" w:fill="auto"/>
            <w:noWrap/>
            <w:vAlign w:val="center"/>
            <w:hideMark/>
          </w:tcPr>
          <w:p w14:paraId="79ABF08C"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2025</w:t>
            </w:r>
            <w:r w:rsidRPr="00607FEC">
              <w:rPr>
                <w:rFonts w:cs="Times New Roman" w:hint="eastAsia"/>
                <w:color w:val="000000"/>
                <w:kern w:val="0"/>
                <w:sz w:val="12"/>
                <w:szCs w:val="12"/>
              </w:rPr>
              <w:t>年</w:t>
            </w:r>
            <w:r w:rsidRPr="00607FEC">
              <w:rPr>
                <w:rFonts w:cs="Times New Roman" w:hint="eastAsia"/>
                <w:color w:val="000000"/>
                <w:kern w:val="0"/>
                <w:sz w:val="12"/>
                <w:szCs w:val="12"/>
              </w:rPr>
              <w:t>7</w:t>
            </w:r>
            <w:r w:rsidRPr="00607FEC">
              <w:rPr>
                <w:rFonts w:cs="Times New Roman" w:hint="eastAsia"/>
                <w:color w:val="000000"/>
                <w:kern w:val="0"/>
                <w:sz w:val="12"/>
                <w:szCs w:val="12"/>
              </w:rPr>
              <w:t>月</w:t>
            </w:r>
          </w:p>
        </w:tc>
        <w:tc>
          <w:tcPr>
            <w:tcW w:w="473" w:type="dxa"/>
            <w:shd w:val="clear" w:color="auto" w:fill="auto"/>
            <w:noWrap/>
            <w:vAlign w:val="center"/>
            <w:hideMark/>
          </w:tcPr>
          <w:p w14:paraId="5438230B"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施工工地</w:t>
            </w:r>
          </w:p>
        </w:tc>
        <w:tc>
          <w:tcPr>
            <w:tcW w:w="722" w:type="dxa"/>
            <w:shd w:val="clear" w:color="auto" w:fill="auto"/>
            <w:noWrap/>
            <w:vAlign w:val="center"/>
            <w:hideMark/>
          </w:tcPr>
          <w:p w14:paraId="08A54453"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完好含卸车</w:t>
            </w:r>
          </w:p>
        </w:tc>
        <w:tc>
          <w:tcPr>
            <w:tcW w:w="690" w:type="dxa"/>
            <w:shd w:val="clear" w:color="auto" w:fill="auto"/>
            <w:noWrap/>
            <w:vAlign w:val="center"/>
            <w:hideMark/>
          </w:tcPr>
          <w:p w14:paraId="473AEA23"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中铁电气化局</w:t>
            </w:r>
          </w:p>
        </w:tc>
        <w:tc>
          <w:tcPr>
            <w:tcW w:w="1319" w:type="dxa"/>
            <w:shd w:val="clear" w:color="auto" w:fill="auto"/>
            <w:noWrap/>
            <w:vAlign w:val="center"/>
          </w:tcPr>
          <w:p w14:paraId="3A350D38" w14:textId="77777777" w:rsidR="00682ECC" w:rsidRPr="00607FEC" w:rsidRDefault="00682ECC" w:rsidP="00B852BC">
            <w:pPr>
              <w:widowControl/>
              <w:jc w:val="left"/>
              <w:rPr>
                <w:rFonts w:cs="Times New Roman"/>
                <w:color w:val="000000"/>
                <w:kern w:val="0"/>
                <w:sz w:val="12"/>
                <w:szCs w:val="12"/>
              </w:rPr>
            </w:pPr>
          </w:p>
        </w:tc>
      </w:tr>
      <w:tr w:rsidR="00682ECC" w:rsidRPr="00607FEC" w14:paraId="39F889FA" w14:textId="77777777" w:rsidTr="00B852BC">
        <w:trPr>
          <w:trHeight w:val="751"/>
          <w:jc w:val="center"/>
        </w:trPr>
        <w:tc>
          <w:tcPr>
            <w:tcW w:w="520" w:type="dxa"/>
            <w:shd w:val="clear" w:color="auto" w:fill="auto"/>
            <w:noWrap/>
            <w:vAlign w:val="center"/>
            <w:hideMark/>
          </w:tcPr>
          <w:p w14:paraId="271D9BD4"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5</w:t>
            </w:r>
          </w:p>
        </w:tc>
        <w:tc>
          <w:tcPr>
            <w:tcW w:w="651" w:type="dxa"/>
            <w:vMerge/>
            <w:vAlign w:val="center"/>
            <w:hideMark/>
          </w:tcPr>
          <w:p w14:paraId="35EFEC48" w14:textId="77777777" w:rsidR="00682ECC" w:rsidRPr="00607FEC" w:rsidRDefault="00682ECC" w:rsidP="00B852BC">
            <w:pPr>
              <w:widowControl/>
              <w:jc w:val="center"/>
              <w:rPr>
                <w:rFonts w:cs="Times New Roman"/>
                <w:color w:val="000000"/>
                <w:kern w:val="0"/>
                <w:sz w:val="12"/>
                <w:szCs w:val="12"/>
              </w:rPr>
            </w:pPr>
          </w:p>
        </w:tc>
        <w:tc>
          <w:tcPr>
            <w:tcW w:w="567" w:type="dxa"/>
            <w:vMerge/>
            <w:shd w:val="clear" w:color="auto" w:fill="auto"/>
            <w:noWrap/>
            <w:vAlign w:val="center"/>
            <w:hideMark/>
          </w:tcPr>
          <w:p w14:paraId="50485EF2" w14:textId="77777777" w:rsidR="00682ECC" w:rsidRPr="00607FEC" w:rsidRDefault="00682ECC" w:rsidP="00B852BC">
            <w:pPr>
              <w:widowControl/>
              <w:jc w:val="center"/>
              <w:rPr>
                <w:rFonts w:cs="Times New Roman"/>
                <w:color w:val="000000"/>
                <w:kern w:val="0"/>
                <w:sz w:val="12"/>
                <w:szCs w:val="12"/>
              </w:rPr>
            </w:pPr>
          </w:p>
        </w:tc>
        <w:tc>
          <w:tcPr>
            <w:tcW w:w="1005" w:type="dxa"/>
            <w:shd w:val="clear" w:color="auto" w:fill="auto"/>
            <w:noWrap/>
            <w:vAlign w:val="center"/>
            <w:hideMark/>
          </w:tcPr>
          <w:p w14:paraId="036F4D20"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不间断电源（</w:t>
            </w:r>
            <w:r w:rsidRPr="00607FEC">
              <w:rPr>
                <w:rFonts w:cs="Times New Roman"/>
                <w:color w:val="000000"/>
                <w:kern w:val="0"/>
                <w:sz w:val="12"/>
                <w:szCs w:val="12"/>
              </w:rPr>
              <w:t>UPS</w:t>
            </w:r>
            <w:r w:rsidRPr="00607FEC">
              <w:rPr>
                <w:rFonts w:cs="Times New Roman"/>
                <w:color w:val="000000"/>
                <w:kern w:val="0"/>
                <w:sz w:val="12"/>
                <w:szCs w:val="12"/>
              </w:rPr>
              <w:t>）</w:t>
            </w:r>
            <w:r w:rsidRPr="00607FEC">
              <w:rPr>
                <w:rFonts w:cs="Times New Roman"/>
                <w:color w:val="000000"/>
                <w:kern w:val="0"/>
                <w:sz w:val="12"/>
                <w:szCs w:val="12"/>
              </w:rPr>
              <w:t>20KVA</w:t>
            </w:r>
          </w:p>
        </w:tc>
        <w:tc>
          <w:tcPr>
            <w:tcW w:w="1931" w:type="dxa"/>
            <w:shd w:val="clear" w:color="auto" w:fill="auto"/>
            <w:noWrap/>
            <w:vAlign w:val="center"/>
            <w:hideMark/>
          </w:tcPr>
          <w:p w14:paraId="5FEE649E"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含蓄电池组，备用</w:t>
            </w:r>
            <w:r w:rsidRPr="00607FEC">
              <w:rPr>
                <w:rFonts w:cs="Times New Roman"/>
                <w:color w:val="000000"/>
                <w:kern w:val="0"/>
                <w:sz w:val="12"/>
                <w:szCs w:val="12"/>
              </w:rPr>
              <w:t>1</w:t>
            </w:r>
            <w:r w:rsidRPr="00607FEC">
              <w:rPr>
                <w:rFonts w:cs="Times New Roman"/>
                <w:color w:val="000000"/>
                <w:kern w:val="0"/>
                <w:sz w:val="12"/>
                <w:szCs w:val="12"/>
              </w:rPr>
              <w:t>小时</w:t>
            </w:r>
          </w:p>
        </w:tc>
        <w:tc>
          <w:tcPr>
            <w:tcW w:w="510" w:type="dxa"/>
            <w:shd w:val="clear" w:color="auto" w:fill="auto"/>
            <w:noWrap/>
            <w:vAlign w:val="center"/>
            <w:hideMark/>
          </w:tcPr>
          <w:p w14:paraId="5796F0BE"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套</w:t>
            </w:r>
          </w:p>
        </w:tc>
        <w:tc>
          <w:tcPr>
            <w:tcW w:w="511" w:type="dxa"/>
            <w:shd w:val="clear" w:color="auto" w:fill="auto"/>
            <w:noWrap/>
            <w:vAlign w:val="center"/>
            <w:hideMark/>
          </w:tcPr>
          <w:p w14:paraId="549E7FB7"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1</w:t>
            </w:r>
          </w:p>
        </w:tc>
        <w:tc>
          <w:tcPr>
            <w:tcW w:w="4956" w:type="dxa"/>
            <w:vMerge/>
            <w:vAlign w:val="center"/>
            <w:hideMark/>
          </w:tcPr>
          <w:p w14:paraId="5F966F63" w14:textId="77777777" w:rsidR="00682ECC" w:rsidRPr="00607FEC" w:rsidRDefault="00682ECC" w:rsidP="00B852BC">
            <w:pPr>
              <w:widowControl/>
              <w:jc w:val="left"/>
              <w:rPr>
                <w:rFonts w:cs="Times New Roman"/>
                <w:color w:val="000000"/>
                <w:kern w:val="0"/>
                <w:sz w:val="12"/>
                <w:szCs w:val="12"/>
              </w:rPr>
            </w:pPr>
          </w:p>
        </w:tc>
        <w:tc>
          <w:tcPr>
            <w:tcW w:w="537" w:type="dxa"/>
            <w:vMerge/>
            <w:shd w:val="clear" w:color="auto" w:fill="auto"/>
            <w:noWrap/>
            <w:vAlign w:val="center"/>
            <w:hideMark/>
          </w:tcPr>
          <w:p w14:paraId="293C15FD" w14:textId="77777777" w:rsidR="00682ECC" w:rsidRPr="00607FEC" w:rsidRDefault="00682ECC" w:rsidP="00B852BC">
            <w:pPr>
              <w:widowControl/>
              <w:jc w:val="center"/>
              <w:rPr>
                <w:rFonts w:cs="Times New Roman"/>
                <w:color w:val="000000"/>
                <w:kern w:val="0"/>
                <w:sz w:val="12"/>
                <w:szCs w:val="12"/>
              </w:rPr>
            </w:pPr>
          </w:p>
        </w:tc>
        <w:tc>
          <w:tcPr>
            <w:tcW w:w="473" w:type="dxa"/>
            <w:shd w:val="clear" w:color="auto" w:fill="auto"/>
            <w:noWrap/>
            <w:vAlign w:val="center"/>
            <w:hideMark/>
          </w:tcPr>
          <w:p w14:paraId="01244968"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施工工地</w:t>
            </w:r>
          </w:p>
        </w:tc>
        <w:tc>
          <w:tcPr>
            <w:tcW w:w="722" w:type="dxa"/>
            <w:shd w:val="clear" w:color="auto" w:fill="auto"/>
            <w:noWrap/>
            <w:vAlign w:val="center"/>
            <w:hideMark/>
          </w:tcPr>
          <w:p w14:paraId="6820BAA0"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完好含卸车</w:t>
            </w:r>
          </w:p>
        </w:tc>
        <w:tc>
          <w:tcPr>
            <w:tcW w:w="690" w:type="dxa"/>
            <w:shd w:val="clear" w:color="auto" w:fill="auto"/>
            <w:noWrap/>
            <w:vAlign w:val="center"/>
            <w:hideMark/>
          </w:tcPr>
          <w:p w14:paraId="4AA46D88"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中铁电气化局</w:t>
            </w:r>
          </w:p>
        </w:tc>
        <w:tc>
          <w:tcPr>
            <w:tcW w:w="1319" w:type="dxa"/>
            <w:shd w:val="clear" w:color="auto" w:fill="auto"/>
            <w:noWrap/>
            <w:vAlign w:val="center"/>
          </w:tcPr>
          <w:p w14:paraId="210AE4CE" w14:textId="77777777" w:rsidR="00682ECC" w:rsidRPr="00607FEC" w:rsidRDefault="00682ECC" w:rsidP="00B852BC">
            <w:pPr>
              <w:widowControl/>
              <w:jc w:val="left"/>
              <w:rPr>
                <w:rFonts w:cs="Times New Roman"/>
                <w:color w:val="000000"/>
                <w:kern w:val="0"/>
                <w:sz w:val="12"/>
                <w:szCs w:val="12"/>
              </w:rPr>
            </w:pPr>
          </w:p>
        </w:tc>
      </w:tr>
      <w:tr w:rsidR="00682ECC" w:rsidRPr="00607FEC" w14:paraId="76DD0FE4" w14:textId="77777777" w:rsidTr="00B852BC">
        <w:trPr>
          <w:trHeight w:val="751"/>
          <w:jc w:val="center"/>
        </w:trPr>
        <w:tc>
          <w:tcPr>
            <w:tcW w:w="520" w:type="dxa"/>
            <w:shd w:val="clear" w:color="auto" w:fill="auto"/>
            <w:noWrap/>
            <w:vAlign w:val="center"/>
            <w:hideMark/>
          </w:tcPr>
          <w:p w14:paraId="0ED21F2E"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6</w:t>
            </w:r>
          </w:p>
        </w:tc>
        <w:tc>
          <w:tcPr>
            <w:tcW w:w="651" w:type="dxa"/>
            <w:vMerge/>
            <w:vAlign w:val="center"/>
            <w:hideMark/>
          </w:tcPr>
          <w:p w14:paraId="2E02D5A5" w14:textId="77777777" w:rsidR="00682ECC" w:rsidRPr="00607FEC" w:rsidRDefault="00682ECC" w:rsidP="00B852BC">
            <w:pPr>
              <w:widowControl/>
              <w:jc w:val="center"/>
              <w:rPr>
                <w:rFonts w:cs="Times New Roman"/>
                <w:color w:val="000000"/>
                <w:kern w:val="0"/>
                <w:sz w:val="12"/>
                <w:szCs w:val="12"/>
              </w:rPr>
            </w:pPr>
          </w:p>
        </w:tc>
        <w:tc>
          <w:tcPr>
            <w:tcW w:w="567" w:type="dxa"/>
            <w:vMerge/>
            <w:shd w:val="clear" w:color="auto" w:fill="auto"/>
            <w:noWrap/>
            <w:vAlign w:val="center"/>
            <w:hideMark/>
          </w:tcPr>
          <w:p w14:paraId="3DCADBAE" w14:textId="77777777" w:rsidR="00682ECC" w:rsidRPr="00607FEC" w:rsidRDefault="00682ECC" w:rsidP="00B852BC">
            <w:pPr>
              <w:widowControl/>
              <w:jc w:val="center"/>
              <w:rPr>
                <w:rFonts w:cs="Times New Roman"/>
                <w:color w:val="000000"/>
                <w:kern w:val="0"/>
                <w:sz w:val="12"/>
                <w:szCs w:val="12"/>
              </w:rPr>
            </w:pPr>
          </w:p>
        </w:tc>
        <w:tc>
          <w:tcPr>
            <w:tcW w:w="1005" w:type="dxa"/>
            <w:shd w:val="clear" w:color="auto" w:fill="auto"/>
            <w:noWrap/>
            <w:vAlign w:val="center"/>
            <w:hideMark/>
          </w:tcPr>
          <w:p w14:paraId="2A5A79A7"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不间断电源（</w:t>
            </w:r>
            <w:r w:rsidRPr="00607FEC">
              <w:rPr>
                <w:rFonts w:cs="Times New Roman"/>
                <w:color w:val="000000"/>
                <w:kern w:val="0"/>
                <w:sz w:val="12"/>
                <w:szCs w:val="12"/>
              </w:rPr>
              <w:t>UPS</w:t>
            </w:r>
            <w:r w:rsidRPr="00607FEC">
              <w:rPr>
                <w:rFonts w:cs="Times New Roman"/>
                <w:color w:val="000000"/>
                <w:kern w:val="0"/>
                <w:sz w:val="12"/>
                <w:szCs w:val="12"/>
              </w:rPr>
              <w:t>）</w:t>
            </w:r>
            <w:r w:rsidRPr="00607FEC">
              <w:rPr>
                <w:rFonts w:cs="Times New Roman"/>
                <w:color w:val="000000"/>
                <w:kern w:val="0"/>
                <w:sz w:val="12"/>
                <w:szCs w:val="12"/>
              </w:rPr>
              <w:t>5KVA</w:t>
            </w:r>
          </w:p>
        </w:tc>
        <w:tc>
          <w:tcPr>
            <w:tcW w:w="1931" w:type="dxa"/>
            <w:shd w:val="clear" w:color="auto" w:fill="auto"/>
            <w:noWrap/>
            <w:vAlign w:val="center"/>
            <w:hideMark/>
          </w:tcPr>
          <w:p w14:paraId="6BF9D488"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含蓄电池组，备用</w:t>
            </w:r>
            <w:r w:rsidRPr="00607FEC">
              <w:rPr>
                <w:rFonts w:cs="Times New Roman"/>
                <w:color w:val="000000"/>
                <w:kern w:val="0"/>
                <w:sz w:val="12"/>
                <w:szCs w:val="12"/>
              </w:rPr>
              <w:t>1</w:t>
            </w:r>
            <w:r w:rsidRPr="00607FEC">
              <w:rPr>
                <w:rFonts w:cs="Times New Roman"/>
                <w:color w:val="000000"/>
                <w:kern w:val="0"/>
                <w:sz w:val="12"/>
                <w:szCs w:val="12"/>
              </w:rPr>
              <w:t>小时</w:t>
            </w:r>
          </w:p>
        </w:tc>
        <w:tc>
          <w:tcPr>
            <w:tcW w:w="510" w:type="dxa"/>
            <w:shd w:val="clear" w:color="auto" w:fill="auto"/>
            <w:noWrap/>
            <w:vAlign w:val="center"/>
            <w:hideMark/>
          </w:tcPr>
          <w:p w14:paraId="6A5B4F94"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套</w:t>
            </w:r>
          </w:p>
        </w:tc>
        <w:tc>
          <w:tcPr>
            <w:tcW w:w="511" w:type="dxa"/>
            <w:shd w:val="clear" w:color="auto" w:fill="auto"/>
            <w:noWrap/>
            <w:vAlign w:val="center"/>
            <w:hideMark/>
          </w:tcPr>
          <w:p w14:paraId="4C08C971"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4</w:t>
            </w:r>
          </w:p>
        </w:tc>
        <w:tc>
          <w:tcPr>
            <w:tcW w:w="4956" w:type="dxa"/>
            <w:vMerge/>
            <w:vAlign w:val="center"/>
            <w:hideMark/>
          </w:tcPr>
          <w:p w14:paraId="0824C461" w14:textId="77777777" w:rsidR="00682ECC" w:rsidRPr="00607FEC" w:rsidRDefault="00682ECC" w:rsidP="00B852BC">
            <w:pPr>
              <w:widowControl/>
              <w:jc w:val="left"/>
              <w:rPr>
                <w:rFonts w:cs="Times New Roman"/>
                <w:color w:val="000000"/>
                <w:kern w:val="0"/>
                <w:sz w:val="12"/>
                <w:szCs w:val="12"/>
              </w:rPr>
            </w:pPr>
          </w:p>
        </w:tc>
        <w:tc>
          <w:tcPr>
            <w:tcW w:w="537" w:type="dxa"/>
            <w:vMerge/>
            <w:shd w:val="clear" w:color="auto" w:fill="auto"/>
            <w:noWrap/>
            <w:vAlign w:val="center"/>
            <w:hideMark/>
          </w:tcPr>
          <w:p w14:paraId="058E65EE" w14:textId="77777777" w:rsidR="00682ECC" w:rsidRPr="00607FEC" w:rsidRDefault="00682ECC" w:rsidP="00B852BC">
            <w:pPr>
              <w:widowControl/>
              <w:jc w:val="center"/>
              <w:rPr>
                <w:rFonts w:cs="Times New Roman"/>
                <w:color w:val="000000"/>
                <w:kern w:val="0"/>
                <w:sz w:val="12"/>
                <w:szCs w:val="12"/>
              </w:rPr>
            </w:pPr>
          </w:p>
        </w:tc>
        <w:tc>
          <w:tcPr>
            <w:tcW w:w="473" w:type="dxa"/>
            <w:shd w:val="clear" w:color="auto" w:fill="auto"/>
            <w:noWrap/>
            <w:vAlign w:val="center"/>
            <w:hideMark/>
          </w:tcPr>
          <w:p w14:paraId="42E900C6"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施工工地</w:t>
            </w:r>
          </w:p>
        </w:tc>
        <w:tc>
          <w:tcPr>
            <w:tcW w:w="722" w:type="dxa"/>
            <w:shd w:val="clear" w:color="auto" w:fill="auto"/>
            <w:noWrap/>
            <w:vAlign w:val="center"/>
            <w:hideMark/>
          </w:tcPr>
          <w:p w14:paraId="7FCF974C"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完好含卸车</w:t>
            </w:r>
          </w:p>
        </w:tc>
        <w:tc>
          <w:tcPr>
            <w:tcW w:w="690" w:type="dxa"/>
            <w:shd w:val="clear" w:color="auto" w:fill="auto"/>
            <w:noWrap/>
            <w:vAlign w:val="center"/>
            <w:hideMark/>
          </w:tcPr>
          <w:p w14:paraId="59EC49FA"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中铁电气化局</w:t>
            </w:r>
          </w:p>
        </w:tc>
        <w:tc>
          <w:tcPr>
            <w:tcW w:w="1319" w:type="dxa"/>
            <w:shd w:val="clear" w:color="auto" w:fill="auto"/>
            <w:noWrap/>
            <w:vAlign w:val="center"/>
          </w:tcPr>
          <w:p w14:paraId="58DECFF7" w14:textId="77777777" w:rsidR="00682ECC" w:rsidRPr="00607FEC" w:rsidRDefault="00682ECC" w:rsidP="00B852BC">
            <w:pPr>
              <w:widowControl/>
              <w:jc w:val="left"/>
              <w:rPr>
                <w:rFonts w:cs="Times New Roman"/>
                <w:color w:val="000000"/>
                <w:kern w:val="0"/>
                <w:sz w:val="12"/>
                <w:szCs w:val="12"/>
              </w:rPr>
            </w:pPr>
          </w:p>
        </w:tc>
      </w:tr>
      <w:tr w:rsidR="00682ECC" w:rsidRPr="00607FEC" w14:paraId="5EA0B97B" w14:textId="77777777" w:rsidTr="00B852BC">
        <w:trPr>
          <w:trHeight w:val="752"/>
          <w:jc w:val="center"/>
        </w:trPr>
        <w:tc>
          <w:tcPr>
            <w:tcW w:w="520" w:type="dxa"/>
            <w:shd w:val="clear" w:color="auto" w:fill="auto"/>
            <w:noWrap/>
            <w:vAlign w:val="center"/>
            <w:hideMark/>
          </w:tcPr>
          <w:p w14:paraId="19B7A3E1" w14:textId="77777777" w:rsidR="00682ECC" w:rsidRPr="00607FEC" w:rsidRDefault="00682ECC" w:rsidP="00B852BC">
            <w:pPr>
              <w:widowControl/>
              <w:jc w:val="center"/>
              <w:rPr>
                <w:rFonts w:cs="Times New Roman"/>
                <w:color w:val="000000"/>
                <w:kern w:val="0"/>
                <w:sz w:val="12"/>
                <w:szCs w:val="12"/>
              </w:rPr>
            </w:pPr>
            <w:r w:rsidRPr="00607FEC">
              <w:rPr>
                <w:rFonts w:cs="Times New Roman" w:hint="eastAsia"/>
                <w:color w:val="000000"/>
                <w:kern w:val="0"/>
                <w:sz w:val="12"/>
                <w:szCs w:val="12"/>
              </w:rPr>
              <w:t>7</w:t>
            </w:r>
          </w:p>
        </w:tc>
        <w:tc>
          <w:tcPr>
            <w:tcW w:w="651" w:type="dxa"/>
            <w:vMerge/>
            <w:vAlign w:val="center"/>
            <w:hideMark/>
          </w:tcPr>
          <w:p w14:paraId="3516A091" w14:textId="77777777" w:rsidR="00682ECC" w:rsidRPr="00607FEC" w:rsidRDefault="00682ECC" w:rsidP="00B852BC">
            <w:pPr>
              <w:widowControl/>
              <w:jc w:val="center"/>
              <w:rPr>
                <w:rFonts w:cs="Times New Roman"/>
                <w:color w:val="000000"/>
                <w:kern w:val="0"/>
                <w:sz w:val="12"/>
                <w:szCs w:val="12"/>
              </w:rPr>
            </w:pPr>
          </w:p>
        </w:tc>
        <w:tc>
          <w:tcPr>
            <w:tcW w:w="567" w:type="dxa"/>
            <w:vMerge/>
            <w:shd w:val="clear" w:color="auto" w:fill="auto"/>
            <w:noWrap/>
            <w:vAlign w:val="center"/>
            <w:hideMark/>
          </w:tcPr>
          <w:p w14:paraId="401AAC7F" w14:textId="77777777" w:rsidR="00682ECC" w:rsidRPr="00607FEC" w:rsidRDefault="00682ECC" w:rsidP="00B852BC">
            <w:pPr>
              <w:widowControl/>
              <w:jc w:val="center"/>
              <w:rPr>
                <w:rFonts w:cs="Times New Roman"/>
                <w:color w:val="000000"/>
                <w:kern w:val="0"/>
                <w:sz w:val="12"/>
                <w:szCs w:val="12"/>
              </w:rPr>
            </w:pPr>
          </w:p>
        </w:tc>
        <w:tc>
          <w:tcPr>
            <w:tcW w:w="1005" w:type="dxa"/>
            <w:shd w:val="clear" w:color="auto" w:fill="auto"/>
            <w:noWrap/>
            <w:vAlign w:val="center"/>
            <w:hideMark/>
          </w:tcPr>
          <w:p w14:paraId="5A586B76"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蓄电池组（</w:t>
            </w:r>
            <w:r w:rsidRPr="00607FEC">
              <w:rPr>
                <w:rFonts w:cs="Times New Roman"/>
                <w:color w:val="000000"/>
                <w:kern w:val="0"/>
                <w:sz w:val="12"/>
                <w:szCs w:val="12"/>
              </w:rPr>
              <w:t>48V</w:t>
            </w:r>
            <w:r w:rsidRPr="00607FEC">
              <w:rPr>
                <w:rFonts w:cs="Times New Roman"/>
                <w:color w:val="000000"/>
                <w:kern w:val="0"/>
                <w:sz w:val="12"/>
                <w:szCs w:val="12"/>
              </w:rPr>
              <w:t>）</w:t>
            </w:r>
            <w:r w:rsidRPr="00607FEC">
              <w:rPr>
                <w:rFonts w:cs="Times New Roman"/>
                <w:color w:val="000000"/>
                <w:kern w:val="0"/>
                <w:sz w:val="12"/>
                <w:szCs w:val="12"/>
              </w:rPr>
              <w:t xml:space="preserve"> 200AH</w:t>
            </w:r>
          </w:p>
        </w:tc>
        <w:tc>
          <w:tcPr>
            <w:tcW w:w="1931" w:type="dxa"/>
            <w:shd w:val="clear" w:color="auto" w:fill="auto"/>
            <w:noWrap/>
            <w:vAlign w:val="center"/>
            <w:hideMark/>
          </w:tcPr>
          <w:p w14:paraId="0D1F7A38"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含蓄电池柜（架）</w:t>
            </w:r>
          </w:p>
        </w:tc>
        <w:tc>
          <w:tcPr>
            <w:tcW w:w="510" w:type="dxa"/>
            <w:shd w:val="clear" w:color="auto" w:fill="auto"/>
            <w:noWrap/>
            <w:vAlign w:val="center"/>
            <w:hideMark/>
          </w:tcPr>
          <w:p w14:paraId="0BA05C7C"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组</w:t>
            </w:r>
          </w:p>
        </w:tc>
        <w:tc>
          <w:tcPr>
            <w:tcW w:w="511" w:type="dxa"/>
            <w:shd w:val="clear" w:color="auto" w:fill="auto"/>
            <w:noWrap/>
            <w:vAlign w:val="center"/>
            <w:hideMark/>
          </w:tcPr>
          <w:p w14:paraId="2208C5FC"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7</w:t>
            </w:r>
          </w:p>
        </w:tc>
        <w:tc>
          <w:tcPr>
            <w:tcW w:w="4956" w:type="dxa"/>
            <w:vMerge/>
            <w:vAlign w:val="center"/>
            <w:hideMark/>
          </w:tcPr>
          <w:p w14:paraId="45A00C38" w14:textId="77777777" w:rsidR="00682ECC" w:rsidRPr="00607FEC" w:rsidRDefault="00682ECC" w:rsidP="00B852BC">
            <w:pPr>
              <w:widowControl/>
              <w:jc w:val="left"/>
              <w:rPr>
                <w:rFonts w:cs="Times New Roman"/>
                <w:color w:val="000000"/>
                <w:kern w:val="0"/>
                <w:sz w:val="12"/>
                <w:szCs w:val="12"/>
              </w:rPr>
            </w:pPr>
          </w:p>
        </w:tc>
        <w:tc>
          <w:tcPr>
            <w:tcW w:w="537" w:type="dxa"/>
            <w:vMerge/>
            <w:shd w:val="clear" w:color="auto" w:fill="auto"/>
            <w:noWrap/>
            <w:vAlign w:val="center"/>
            <w:hideMark/>
          </w:tcPr>
          <w:p w14:paraId="2801989C" w14:textId="77777777" w:rsidR="00682ECC" w:rsidRPr="00607FEC" w:rsidRDefault="00682ECC" w:rsidP="00B852BC">
            <w:pPr>
              <w:widowControl/>
              <w:jc w:val="center"/>
              <w:rPr>
                <w:rFonts w:cs="Times New Roman"/>
                <w:color w:val="000000"/>
                <w:kern w:val="0"/>
                <w:sz w:val="12"/>
                <w:szCs w:val="12"/>
              </w:rPr>
            </w:pPr>
          </w:p>
        </w:tc>
        <w:tc>
          <w:tcPr>
            <w:tcW w:w="473" w:type="dxa"/>
            <w:shd w:val="clear" w:color="auto" w:fill="auto"/>
            <w:noWrap/>
            <w:vAlign w:val="center"/>
            <w:hideMark/>
          </w:tcPr>
          <w:p w14:paraId="60487176"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施工工地</w:t>
            </w:r>
          </w:p>
        </w:tc>
        <w:tc>
          <w:tcPr>
            <w:tcW w:w="722" w:type="dxa"/>
            <w:shd w:val="clear" w:color="auto" w:fill="auto"/>
            <w:noWrap/>
            <w:vAlign w:val="center"/>
            <w:hideMark/>
          </w:tcPr>
          <w:p w14:paraId="56359F12"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完好含卸车</w:t>
            </w:r>
          </w:p>
        </w:tc>
        <w:tc>
          <w:tcPr>
            <w:tcW w:w="690" w:type="dxa"/>
            <w:shd w:val="clear" w:color="auto" w:fill="auto"/>
            <w:noWrap/>
            <w:vAlign w:val="center"/>
            <w:hideMark/>
          </w:tcPr>
          <w:p w14:paraId="62246242" w14:textId="77777777" w:rsidR="00682ECC" w:rsidRPr="00607FEC" w:rsidRDefault="00682ECC" w:rsidP="00B852BC">
            <w:pPr>
              <w:widowControl/>
              <w:jc w:val="center"/>
              <w:rPr>
                <w:rFonts w:cs="Times New Roman"/>
                <w:color w:val="000000"/>
                <w:kern w:val="0"/>
                <w:sz w:val="12"/>
                <w:szCs w:val="12"/>
              </w:rPr>
            </w:pPr>
            <w:r w:rsidRPr="00607FEC">
              <w:rPr>
                <w:rFonts w:cs="Times New Roman"/>
                <w:color w:val="000000"/>
                <w:kern w:val="0"/>
                <w:sz w:val="12"/>
                <w:szCs w:val="12"/>
              </w:rPr>
              <w:t>中铁电气化局</w:t>
            </w:r>
          </w:p>
        </w:tc>
        <w:tc>
          <w:tcPr>
            <w:tcW w:w="1319" w:type="dxa"/>
            <w:shd w:val="clear" w:color="auto" w:fill="auto"/>
            <w:noWrap/>
            <w:vAlign w:val="center"/>
          </w:tcPr>
          <w:p w14:paraId="28DA6D52" w14:textId="77777777" w:rsidR="00682ECC" w:rsidRPr="00607FEC" w:rsidRDefault="00682ECC" w:rsidP="00B852BC">
            <w:pPr>
              <w:widowControl/>
              <w:jc w:val="left"/>
              <w:rPr>
                <w:rFonts w:cs="Times New Roman"/>
                <w:color w:val="000000"/>
                <w:kern w:val="0"/>
                <w:sz w:val="12"/>
                <w:szCs w:val="12"/>
              </w:rPr>
            </w:pPr>
          </w:p>
        </w:tc>
      </w:tr>
    </w:tbl>
    <w:p w14:paraId="56F88397" w14:textId="77777777" w:rsidR="00682ECC" w:rsidRPr="00607FEC" w:rsidRDefault="00682ECC" w:rsidP="00682ECC">
      <w:pPr>
        <w:pStyle w:val="af3"/>
      </w:pPr>
    </w:p>
    <w:p w14:paraId="16DD24E1" w14:textId="77777777" w:rsidR="00682ECC" w:rsidRPr="00607FEC" w:rsidRDefault="00682ECC" w:rsidP="00682ECC">
      <w:pPr>
        <w:pStyle w:val="af3"/>
      </w:pPr>
    </w:p>
    <w:p w14:paraId="3CDC8A3B" w14:textId="77777777" w:rsidR="00682ECC" w:rsidRPr="00607FEC" w:rsidRDefault="00682ECC" w:rsidP="00682ECC">
      <w:pPr>
        <w:pStyle w:val="af3"/>
        <w:rPr>
          <w:lang w:bidi="en-US"/>
        </w:rPr>
        <w:sectPr w:rsidR="00682ECC" w:rsidRPr="00607FEC" w:rsidSect="00682ECC">
          <w:footerReference w:type="default" r:id="rId6"/>
          <w:footerReference w:type="first" r:id="rId7"/>
          <w:pgSz w:w="16838" w:h="11906" w:orient="landscape"/>
          <w:pgMar w:top="1080" w:right="1440" w:bottom="1080" w:left="1440" w:header="851" w:footer="992" w:gutter="0"/>
          <w:cols w:space="425"/>
          <w:docGrid w:linePitch="312"/>
        </w:sectPr>
      </w:pPr>
    </w:p>
    <w:p w14:paraId="73AFBFA3" w14:textId="77777777" w:rsidR="00682ECC" w:rsidRPr="00607FEC" w:rsidRDefault="00682ECC" w:rsidP="00682ECC">
      <w:pPr>
        <w:pStyle w:val="2"/>
        <w:spacing w:before="100" w:after="0"/>
        <w:rPr>
          <w:rFonts w:ascii="Times New Roman" w:eastAsia="宋体" w:hAnsi="Times New Roman" w:cs="Times New Roman"/>
          <w:sz w:val="28"/>
        </w:rPr>
      </w:pPr>
      <w:bookmarkStart w:id="1" w:name="_Toc501460596"/>
      <w:bookmarkStart w:id="2" w:name="_Toc11948"/>
      <w:bookmarkStart w:id="3" w:name="_Toc3598"/>
      <w:bookmarkStart w:id="4" w:name="_Toc29553"/>
      <w:bookmarkStart w:id="5" w:name="_Toc164274851"/>
      <w:bookmarkStart w:id="6" w:name="_Toc30794"/>
      <w:bookmarkStart w:id="7" w:name="_Toc180513712"/>
      <w:r w:rsidRPr="00607FEC">
        <w:rPr>
          <w:rFonts w:ascii="Times New Roman" w:eastAsia="宋体" w:hAnsi="Times New Roman" w:cs="Times New Roman"/>
          <w:sz w:val="28"/>
        </w:rPr>
        <w:lastRenderedPageBreak/>
        <w:t>附件</w:t>
      </w:r>
      <w:r w:rsidRPr="00607FEC">
        <w:rPr>
          <w:rFonts w:ascii="Times New Roman" w:eastAsia="宋体" w:hAnsi="Times New Roman" w:cs="Times New Roman"/>
          <w:sz w:val="28"/>
        </w:rPr>
        <w:t>2</w:t>
      </w:r>
      <w:r w:rsidRPr="00607FEC">
        <w:rPr>
          <w:rFonts w:ascii="Times New Roman" w:eastAsia="宋体" w:hAnsi="Times New Roman" w:cs="Times New Roman"/>
          <w:sz w:val="28"/>
        </w:rPr>
        <w:t>：</w:t>
      </w:r>
      <w:bookmarkEnd w:id="1"/>
      <w:bookmarkEnd w:id="2"/>
      <w:bookmarkEnd w:id="3"/>
      <w:bookmarkEnd w:id="4"/>
      <w:bookmarkEnd w:id="5"/>
      <w:bookmarkEnd w:id="6"/>
      <w:bookmarkEnd w:id="7"/>
    </w:p>
    <w:p w14:paraId="3857D7FC" w14:textId="77777777" w:rsidR="00682ECC" w:rsidRPr="00607FEC" w:rsidRDefault="00682ECC" w:rsidP="00682ECC">
      <w:pPr>
        <w:pStyle w:val="a0"/>
        <w:wordWrap w:val="0"/>
        <w:ind w:firstLineChars="200" w:firstLine="420"/>
        <w:rPr>
          <w:rFonts w:cs="Times New Roman"/>
          <w:color w:val="auto"/>
          <w:kern w:val="2"/>
          <w:szCs w:val="21"/>
          <w:lang w:eastAsia="zh-CN" w:bidi="ar-SA"/>
        </w:rPr>
      </w:pPr>
      <w:bookmarkStart w:id="8" w:name="_Hlk179552694"/>
      <w:r w:rsidRPr="00607FEC">
        <w:rPr>
          <w:rFonts w:cs="Times New Roman" w:hint="eastAsia"/>
          <w:color w:val="auto"/>
          <w:kern w:val="2"/>
          <w:szCs w:val="21"/>
          <w:lang w:eastAsia="zh-CN" w:bidi="ar-SA"/>
        </w:rPr>
        <w:t>投标人在招标文件发售期间购买招标文件，在中国铁</w:t>
      </w:r>
      <w:proofErr w:type="gramStart"/>
      <w:r w:rsidRPr="00607FEC">
        <w:rPr>
          <w:rFonts w:cs="Times New Roman" w:hint="eastAsia"/>
          <w:color w:val="auto"/>
          <w:kern w:val="2"/>
          <w:szCs w:val="21"/>
          <w:lang w:eastAsia="zh-CN" w:bidi="ar-SA"/>
        </w:rPr>
        <w:t>物电子招</w:t>
      </w:r>
      <w:proofErr w:type="gramEnd"/>
      <w:r w:rsidRPr="00607FEC">
        <w:rPr>
          <w:rFonts w:cs="Times New Roman" w:hint="eastAsia"/>
          <w:color w:val="auto"/>
          <w:kern w:val="2"/>
          <w:szCs w:val="21"/>
          <w:lang w:eastAsia="zh-CN" w:bidi="ar-SA"/>
        </w:rPr>
        <w:t>投标平台（</w:t>
      </w:r>
      <w:r w:rsidRPr="00607FEC">
        <w:rPr>
          <w:rFonts w:cs="Times New Roman" w:hint="eastAsia"/>
          <w:color w:val="auto"/>
          <w:kern w:val="2"/>
          <w:szCs w:val="21"/>
          <w:lang w:eastAsia="zh-CN" w:bidi="ar-SA"/>
        </w:rPr>
        <w:t>www.bidding-crmsc.com.cn</w:t>
      </w:r>
      <w:r w:rsidRPr="00607FEC">
        <w:rPr>
          <w:rFonts w:cs="Times New Roman" w:hint="eastAsia"/>
          <w:color w:val="auto"/>
          <w:kern w:val="2"/>
          <w:szCs w:val="21"/>
          <w:lang w:eastAsia="zh-CN" w:bidi="ar-SA"/>
        </w:rPr>
        <w:t>）付款后，将“支付成功”界面的截图作为缴费凭证，上传至北京市公共资源交易服务平台</w:t>
      </w:r>
      <w:r w:rsidRPr="00607FEC">
        <w:rPr>
          <w:rFonts w:cs="Times New Roman" w:hint="eastAsia"/>
          <w:color w:val="auto"/>
          <w:kern w:val="2"/>
          <w:szCs w:val="21"/>
          <w:lang w:eastAsia="zh-CN" w:bidi="ar-SA"/>
        </w:rPr>
        <w:t>(ggzyfw.beijing.gov.cn)</w:t>
      </w:r>
      <w:r w:rsidRPr="00607FEC">
        <w:rPr>
          <w:rFonts w:cs="Times New Roman" w:hint="eastAsia"/>
          <w:color w:val="auto"/>
          <w:kern w:val="2"/>
          <w:szCs w:val="21"/>
          <w:lang w:eastAsia="zh-CN" w:bidi="ar-SA"/>
        </w:rPr>
        <w:t>（具体缴费流程咨询招标代理机构</w:t>
      </w:r>
      <w:r w:rsidRPr="00607FEC">
        <w:rPr>
          <w:rFonts w:cs="Times New Roman" w:hint="eastAsia"/>
          <w:color w:val="auto"/>
          <w:kern w:val="2"/>
          <w:szCs w:val="21"/>
          <w:lang w:eastAsia="zh-CN" w:bidi="ar-SA"/>
        </w:rPr>
        <w:t>13811219453</w:t>
      </w:r>
      <w:r w:rsidRPr="00607FEC">
        <w:rPr>
          <w:rFonts w:cs="Times New Roman" w:hint="eastAsia"/>
          <w:color w:val="auto"/>
          <w:kern w:val="2"/>
          <w:szCs w:val="21"/>
          <w:lang w:eastAsia="zh-CN" w:bidi="ar-SA"/>
        </w:rPr>
        <w:t>），通过北京市公共资源交易服务平台下载招标文件（电子版）。招标文件每包件售价</w:t>
      </w:r>
      <w:r w:rsidRPr="00607FEC">
        <w:rPr>
          <w:rFonts w:cs="Times New Roman" w:hint="eastAsia"/>
          <w:color w:val="auto"/>
          <w:kern w:val="2"/>
          <w:szCs w:val="21"/>
          <w:lang w:eastAsia="zh-CN" w:bidi="ar-SA"/>
        </w:rPr>
        <w:t>100</w:t>
      </w:r>
      <w:r w:rsidRPr="00607FEC">
        <w:rPr>
          <w:rFonts w:cs="Times New Roman" w:hint="eastAsia"/>
          <w:color w:val="auto"/>
          <w:kern w:val="2"/>
          <w:szCs w:val="21"/>
          <w:lang w:eastAsia="zh-CN" w:bidi="ar-SA"/>
        </w:rPr>
        <w:t>元，售后不退。</w:t>
      </w:r>
    </w:p>
    <w:p w14:paraId="1D05BD7C" w14:textId="77777777" w:rsidR="00682ECC" w:rsidRPr="00607FEC" w:rsidRDefault="00682ECC" w:rsidP="00682ECC">
      <w:pPr>
        <w:pStyle w:val="a0"/>
        <w:wordWrap w:val="0"/>
        <w:ind w:firstLineChars="200" w:firstLine="420"/>
        <w:rPr>
          <w:lang w:eastAsia="zh-CN"/>
        </w:rPr>
      </w:pPr>
      <w:r w:rsidRPr="00607FEC">
        <w:rPr>
          <w:rFonts w:cs="Times New Roman" w:hint="eastAsia"/>
          <w:color w:val="auto"/>
          <w:kern w:val="2"/>
          <w:szCs w:val="21"/>
          <w:lang w:eastAsia="zh-CN" w:bidi="ar-SA"/>
        </w:rPr>
        <w:t>购买招标文件成功后，投标人如不能按时递交投标文件或放弃投标的，请于递交投标文件截止时间前</w:t>
      </w:r>
      <w:r w:rsidRPr="00607FEC">
        <w:rPr>
          <w:rFonts w:cs="Times New Roman" w:hint="eastAsia"/>
          <w:color w:val="auto"/>
          <w:kern w:val="2"/>
          <w:szCs w:val="21"/>
          <w:lang w:eastAsia="zh-CN" w:bidi="ar-SA"/>
        </w:rPr>
        <w:t>5</w:t>
      </w:r>
      <w:r w:rsidRPr="00607FEC">
        <w:rPr>
          <w:rFonts w:cs="Times New Roman" w:hint="eastAsia"/>
          <w:color w:val="auto"/>
          <w:kern w:val="2"/>
          <w:szCs w:val="21"/>
          <w:lang w:eastAsia="zh-CN" w:bidi="ar-SA"/>
        </w:rPr>
        <w:t>日，出具放弃投标的书面说明（须加盖公章，注明不参加的项目和包件号），将扫描件发送至</w:t>
      </w:r>
      <w:r w:rsidRPr="00607FEC">
        <w:rPr>
          <w:rFonts w:cs="Times New Roman" w:hint="eastAsia"/>
          <w:color w:val="auto"/>
          <w:kern w:val="2"/>
          <w:szCs w:val="21"/>
          <w:lang w:eastAsia="zh-CN" w:bidi="ar-SA"/>
        </w:rPr>
        <w:t>crmt008@163.com</w:t>
      </w:r>
      <w:r w:rsidRPr="00607FEC">
        <w:rPr>
          <w:rFonts w:cs="Times New Roman" w:hint="eastAsia"/>
          <w:color w:val="auto"/>
          <w:kern w:val="2"/>
          <w:szCs w:val="21"/>
          <w:lang w:eastAsia="zh-CN" w:bidi="ar-SA"/>
        </w:rPr>
        <w:t>，并电话与代理机构联系人进行确认</w:t>
      </w:r>
      <w:r w:rsidRPr="00607FEC">
        <w:rPr>
          <w:rFonts w:hint="eastAsia"/>
          <w:b/>
          <w:bCs/>
          <w:lang w:eastAsia="zh-CN"/>
        </w:rPr>
        <w:t>。</w:t>
      </w:r>
    </w:p>
    <w:p w14:paraId="0042F6D9" w14:textId="77777777" w:rsidR="00682ECC" w:rsidRPr="00607FEC" w:rsidRDefault="00682ECC" w:rsidP="00682ECC">
      <w:pPr>
        <w:pStyle w:val="af3"/>
        <w:wordWrap w:val="0"/>
        <w:spacing w:after="0"/>
        <w:ind w:firstLineChars="200" w:firstLine="420"/>
        <w:rPr>
          <w:kern w:val="2"/>
          <w:szCs w:val="21"/>
        </w:rPr>
      </w:pPr>
      <w:proofErr w:type="gramStart"/>
      <w:r w:rsidRPr="00607FEC">
        <w:rPr>
          <w:rFonts w:hint="eastAsia"/>
          <w:kern w:val="2"/>
          <w:szCs w:val="21"/>
        </w:rPr>
        <w:t>标书款</w:t>
      </w:r>
      <w:proofErr w:type="gramEnd"/>
      <w:r w:rsidRPr="00607FEC">
        <w:rPr>
          <w:rFonts w:hint="eastAsia"/>
          <w:kern w:val="2"/>
          <w:szCs w:val="21"/>
        </w:rPr>
        <w:t>发票：将按照投标人在中国铁</w:t>
      </w:r>
      <w:proofErr w:type="gramStart"/>
      <w:r w:rsidRPr="00607FEC">
        <w:rPr>
          <w:rFonts w:hint="eastAsia"/>
          <w:kern w:val="2"/>
          <w:szCs w:val="21"/>
        </w:rPr>
        <w:t>物电子招</w:t>
      </w:r>
      <w:proofErr w:type="gramEnd"/>
      <w:r w:rsidRPr="00607FEC">
        <w:rPr>
          <w:rFonts w:hint="eastAsia"/>
          <w:kern w:val="2"/>
          <w:szCs w:val="21"/>
        </w:rPr>
        <w:t>投标平台“系统管理”</w:t>
      </w:r>
      <w:r w:rsidRPr="00607FEC">
        <w:rPr>
          <w:rFonts w:hint="eastAsia"/>
          <w:kern w:val="2"/>
          <w:szCs w:val="21"/>
        </w:rPr>
        <w:t>-</w:t>
      </w:r>
      <w:r w:rsidRPr="00607FEC">
        <w:rPr>
          <w:rFonts w:hint="eastAsia"/>
          <w:kern w:val="2"/>
          <w:szCs w:val="21"/>
        </w:rPr>
        <w:t>“公司信息”中录入的开票信息开具</w:t>
      </w:r>
      <w:proofErr w:type="gramStart"/>
      <w:r w:rsidRPr="00607FEC">
        <w:rPr>
          <w:rFonts w:hint="eastAsia"/>
          <w:kern w:val="2"/>
          <w:szCs w:val="21"/>
        </w:rPr>
        <w:t>标书款</w:t>
      </w:r>
      <w:proofErr w:type="gramEnd"/>
      <w:r w:rsidRPr="00607FEC">
        <w:rPr>
          <w:rFonts w:hint="eastAsia"/>
          <w:kern w:val="2"/>
          <w:szCs w:val="21"/>
        </w:rPr>
        <w:t>发票（开票信息如有变更请及时更新），待开具成功后，投标人通过“投标管理”</w:t>
      </w:r>
      <w:r w:rsidRPr="00607FEC">
        <w:rPr>
          <w:rFonts w:hint="eastAsia"/>
          <w:kern w:val="2"/>
          <w:szCs w:val="21"/>
        </w:rPr>
        <w:t>-</w:t>
      </w:r>
      <w:r w:rsidRPr="00607FEC">
        <w:rPr>
          <w:rFonts w:hint="eastAsia"/>
          <w:kern w:val="2"/>
          <w:szCs w:val="21"/>
        </w:rPr>
        <w:t>“电票下载”自行下载。</w:t>
      </w:r>
    </w:p>
    <w:p w14:paraId="24048A2C" w14:textId="77777777" w:rsidR="00682ECC" w:rsidRPr="00607FEC" w:rsidRDefault="00682ECC" w:rsidP="00682ECC">
      <w:pPr>
        <w:pStyle w:val="af3"/>
        <w:wordWrap w:val="0"/>
        <w:spacing w:after="0"/>
        <w:ind w:firstLineChars="200" w:firstLine="420"/>
      </w:pPr>
      <w:r w:rsidRPr="00607FEC">
        <w:rPr>
          <w:rFonts w:hint="eastAsia"/>
        </w:rPr>
        <w:t>原已购买过招标文件的投标人，如果继续参加本次投标，按照以上支付步骤重新操作，</w:t>
      </w:r>
      <w:proofErr w:type="gramStart"/>
      <w:r w:rsidRPr="00607FEC">
        <w:rPr>
          <w:rFonts w:hint="eastAsia"/>
        </w:rPr>
        <w:t>标书款</w:t>
      </w:r>
      <w:proofErr w:type="gramEnd"/>
      <w:r w:rsidRPr="00607FEC">
        <w:rPr>
          <w:rFonts w:hint="eastAsia"/>
        </w:rPr>
        <w:t>零元。将“支付成功”界面的截图作为缴费凭证，上传至北京市公共资源交易服务平台，通过北京市公共资源交易服务平台下载招标文件（电子版）。</w:t>
      </w:r>
    </w:p>
    <w:p w14:paraId="5D357B52" w14:textId="77777777" w:rsidR="00682ECC" w:rsidRPr="00607FEC" w:rsidRDefault="00682ECC" w:rsidP="00682ECC">
      <w:pPr>
        <w:pStyle w:val="a0"/>
        <w:wordWrap w:val="0"/>
        <w:ind w:firstLineChars="200" w:firstLine="420"/>
        <w:rPr>
          <w:rFonts w:cs="Times New Roman"/>
          <w:color w:val="auto"/>
          <w:kern w:val="2"/>
          <w:szCs w:val="21"/>
          <w:lang w:eastAsia="zh-CN" w:bidi="ar-SA"/>
        </w:rPr>
      </w:pPr>
    </w:p>
    <w:bookmarkEnd w:id="8"/>
    <w:p w14:paraId="67C8EFFF" w14:textId="77777777" w:rsidR="00682ECC" w:rsidRPr="00607FEC" w:rsidRDefault="00682ECC" w:rsidP="00682ECC">
      <w:pPr>
        <w:pStyle w:val="a0"/>
        <w:ind w:firstLineChars="200" w:firstLine="420"/>
        <w:rPr>
          <w:color w:val="auto"/>
          <w:lang w:eastAsia="zh-CN" w:bidi="ar-SA"/>
        </w:rPr>
      </w:pPr>
    </w:p>
    <w:p w14:paraId="22AC0977" w14:textId="77777777" w:rsidR="00682ECC" w:rsidRPr="00607FEC" w:rsidRDefault="00682ECC" w:rsidP="00682ECC">
      <w:pPr>
        <w:pStyle w:val="a0"/>
        <w:rPr>
          <w:color w:val="auto"/>
          <w:lang w:eastAsia="zh-CN" w:bidi="ar-SA"/>
        </w:rPr>
      </w:pPr>
      <w:r w:rsidRPr="00682ECC">
        <w:rPr>
          <w:rFonts w:hint="eastAsia"/>
          <w:color w:val="auto"/>
          <w:fitText w:val="1260" w:id="-740550912"/>
          <w:lang w:eastAsia="zh-CN" w:bidi="ar-SA"/>
        </w:rPr>
        <w:t>招标代理机构</w:t>
      </w:r>
      <w:r w:rsidRPr="00607FEC">
        <w:rPr>
          <w:rFonts w:hint="eastAsia"/>
          <w:color w:val="auto"/>
          <w:lang w:eastAsia="zh-CN" w:bidi="ar-SA"/>
        </w:rPr>
        <w:t>：中铁物总国际招标有限公司</w:t>
      </w:r>
    </w:p>
    <w:p w14:paraId="3CF3EF6D" w14:textId="77777777" w:rsidR="00682ECC" w:rsidRPr="00607FEC" w:rsidRDefault="00682ECC" w:rsidP="00682ECC">
      <w:pPr>
        <w:pStyle w:val="a0"/>
        <w:rPr>
          <w:color w:val="auto"/>
          <w:lang w:eastAsia="zh-CN" w:bidi="ar-SA"/>
        </w:rPr>
      </w:pPr>
      <w:r w:rsidRPr="00682ECC">
        <w:rPr>
          <w:rFonts w:hint="eastAsia"/>
          <w:color w:val="auto"/>
          <w:spacing w:val="840"/>
          <w:fitText w:val="1260" w:id="-740550911"/>
          <w:lang w:eastAsia="zh-CN" w:bidi="ar-SA"/>
        </w:rPr>
        <w:t>地</w:t>
      </w:r>
      <w:r w:rsidRPr="00682ECC">
        <w:rPr>
          <w:rFonts w:hint="eastAsia"/>
          <w:color w:val="auto"/>
          <w:fitText w:val="1260" w:id="-740550911"/>
          <w:lang w:eastAsia="zh-CN" w:bidi="ar-SA"/>
        </w:rPr>
        <w:t>址</w:t>
      </w:r>
      <w:r w:rsidRPr="00607FEC">
        <w:rPr>
          <w:rFonts w:hint="eastAsia"/>
          <w:color w:val="auto"/>
          <w:lang w:eastAsia="zh-CN" w:bidi="ar-SA"/>
        </w:rPr>
        <w:t>：北京市丰台区丽泽路</w:t>
      </w:r>
      <w:r w:rsidRPr="00607FEC">
        <w:rPr>
          <w:rFonts w:hint="eastAsia"/>
          <w:color w:val="auto"/>
          <w:lang w:eastAsia="zh-CN" w:bidi="ar-SA"/>
        </w:rPr>
        <w:t>54</w:t>
      </w:r>
      <w:r w:rsidRPr="00607FEC">
        <w:rPr>
          <w:rFonts w:hint="eastAsia"/>
          <w:color w:val="auto"/>
          <w:lang w:eastAsia="zh-CN" w:bidi="ar-SA"/>
        </w:rPr>
        <w:t>号鼎兴大厦</w:t>
      </w:r>
      <w:r w:rsidRPr="00607FEC">
        <w:rPr>
          <w:rFonts w:hint="eastAsia"/>
          <w:color w:val="auto"/>
          <w:lang w:eastAsia="zh-CN" w:bidi="ar-SA"/>
        </w:rPr>
        <w:t>A</w:t>
      </w:r>
      <w:r w:rsidRPr="00607FEC">
        <w:rPr>
          <w:rFonts w:hint="eastAsia"/>
          <w:color w:val="auto"/>
          <w:lang w:eastAsia="zh-CN" w:bidi="ar-SA"/>
        </w:rPr>
        <w:t>座</w:t>
      </w:r>
      <w:r w:rsidRPr="00607FEC">
        <w:rPr>
          <w:rFonts w:hint="eastAsia"/>
          <w:color w:val="auto"/>
          <w:lang w:eastAsia="zh-CN" w:bidi="ar-SA"/>
        </w:rPr>
        <w:t>11</w:t>
      </w:r>
      <w:r w:rsidRPr="00607FEC">
        <w:rPr>
          <w:rFonts w:hint="eastAsia"/>
          <w:color w:val="auto"/>
          <w:lang w:eastAsia="zh-CN" w:bidi="ar-SA"/>
        </w:rPr>
        <w:t>层</w:t>
      </w:r>
    </w:p>
    <w:p w14:paraId="7534F03A" w14:textId="77777777" w:rsidR="00682ECC" w:rsidRPr="00607FEC" w:rsidRDefault="00682ECC" w:rsidP="00682ECC">
      <w:pPr>
        <w:pStyle w:val="a0"/>
        <w:rPr>
          <w:color w:val="auto"/>
          <w:lang w:eastAsia="zh-CN" w:bidi="ar-SA"/>
        </w:rPr>
      </w:pPr>
      <w:r w:rsidRPr="00682ECC">
        <w:rPr>
          <w:rFonts w:hint="eastAsia"/>
          <w:color w:val="auto"/>
          <w:spacing w:val="315"/>
          <w:fitText w:val="1260" w:id="-740550910"/>
          <w:lang w:eastAsia="zh-CN" w:bidi="ar-SA"/>
        </w:rPr>
        <w:t>联系</w:t>
      </w:r>
      <w:r w:rsidRPr="00682ECC">
        <w:rPr>
          <w:rFonts w:hint="eastAsia"/>
          <w:color w:val="auto"/>
          <w:fitText w:val="1260" w:id="-740550910"/>
          <w:lang w:eastAsia="zh-CN" w:bidi="ar-SA"/>
        </w:rPr>
        <w:t>人</w:t>
      </w:r>
      <w:r w:rsidRPr="00607FEC">
        <w:rPr>
          <w:rFonts w:hint="eastAsia"/>
          <w:color w:val="auto"/>
          <w:lang w:eastAsia="zh-CN" w:bidi="ar-SA"/>
        </w:rPr>
        <w:t>：张先生</w:t>
      </w:r>
    </w:p>
    <w:p w14:paraId="0AF0D3CA" w14:textId="77777777" w:rsidR="00682ECC" w:rsidRPr="00607FEC" w:rsidRDefault="00682ECC" w:rsidP="00682ECC">
      <w:pPr>
        <w:pStyle w:val="a0"/>
        <w:rPr>
          <w:color w:val="auto"/>
          <w:lang w:eastAsia="zh-CN" w:bidi="ar-SA"/>
        </w:rPr>
      </w:pPr>
      <w:r w:rsidRPr="00682ECC">
        <w:rPr>
          <w:rFonts w:hint="eastAsia"/>
          <w:color w:val="auto"/>
          <w:spacing w:val="840"/>
          <w:fitText w:val="1260" w:id="-740550909"/>
          <w:lang w:eastAsia="zh-CN" w:bidi="ar-SA"/>
        </w:rPr>
        <w:t>电</w:t>
      </w:r>
      <w:r w:rsidRPr="00682ECC">
        <w:rPr>
          <w:rFonts w:hint="eastAsia"/>
          <w:color w:val="auto"/>
          <w:fitText w:val="1260" w:id="-740550909"/>
          <w:lang w:eastAsia="zh-CN" w:bidi="ar-SA"/>
        </w:rPr>
        <w:t>话</w:t>
      </w:r>
      <w:r w:rsidRPr="00607FEC">
        <w:rPr>
          <w:rFonts w:hint="eastAsia"/>
          <w:color w:val="auto"/>
          <w:lang w:eastAsia="zh-CN" w:bidi="ar-SA"/>
        </w:rPr>
        <w:t>：</w:t>
      </w:r>
      <w:r w:rsidRPr="00607FEC">
        <w:rPr>
          <w:rFonts w:hint="eastAsia"/>
          <w:color w:val="auto"/>
          <w:lang w:eastAsia="zh-CN" w:bidi="ar-SA"/>
        </w:rPr>
        <w:t>13811219453</w:t>
      </w:r>
    </w:p>
    <w:p w14:paraId="53F9A374" w14:textId="77777777" w:rsidR="00682ECC" w:rsidRPr="00607FEC" w:rsidRDefault="00682ECC" w:rsidP="00682ECC">
      <w:pPr>
        <w:pStyle w:val="af3"/>
      </w:pPr>
    </w:p>
    <w:p w14:paraId="6339CE01" w14:textId="77777777" w:rsidR="009872A7" w:rsidRPr="00682ECC" w:rsidRDefault="009872A7">
      <w:pPr>
        <w:rPr>
          <w:rFonts w:hint="eastAsia"/>
        </w:rPr>
      </w:pPr>
    </w:p>
    <w:sectPr w:rsidR="009872A7" w:rsidRPr="00682E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6329" w14:textId="77777777" w:rsidR="00994A6A" w:rsidRDefault="00994A6A" w:rsidP="00682ECC">
      <w:pPr>
        <w:spacing w:line="240" w:lineRule="auto"/>
        <w:rPr>
          <w:rFonts w:hint="eastAsia"/>
        </w:rPr>
      </w:pPr>
      <w:r>
        <w:separator/>
      </w:r>
    </w:p>
  </w:endnote>
  <w:endnote w:type="continuationSeparator" w:id="0">
    <w:p w14:paraId="77F6762C" w14:textId="77777777" w:rsidR="00994A6A" w:rsidRDefault="00994A6A" w:rsidP="00682EC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596136"/>
    </w:sdtPr>
    <w:sdtContent>
      <w:p w14:paraId="2F9444A2" w14:textId="77777777" w:rsidR="00682ECC" w:rsidRDefault="00682ECC">
        <w:pPr>
          <w:pStyle w:val="af1"/>
          <w:jc w:val="center"/>
        </w:pPr>
        <w:r>
          <w:fldChar w:fldCharType="begin"/>
        </w:r>
        <w:r>
          <w:instrText>PAGE   \* MERGEFORMAT</w:instrText>
        </w:r>
        <w:r>
          <w:fldChar w:fldCharType="separate"/>
        </w:r>
        <w:r w:rsidRPr="00607B8B">
          <w:rPr>
            <w:noProof/>
            <w:lang w:val="zh-CN"/>
          </w:rPr>
          <w:t>4</w:t>
        </w:r>
        <w:r>
          <w:rPr>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0F31" w14:textId="647E67AF" w:rsidR="00682ECC" w:rsidRDefault="00682ECC">
    <w:pPr>
      <w:pStyle w:val="af1"/>
      <w:jc w:val="center"/>
    </w:pPr>
    <w:r>
      <w:rPr>
        <w:noProof/>
      </w:rPr>
      <w:pict w14:anchorId="421218AE">
        <v:shapetype id="_x0000_t202" coordsize="21600,21600" o:spt="202" path="m,l,21600r21600,l21600,xe">
          <v:stroke joinstyle="miter"/>
          <v:path gradientshapeok="t" o:connecttype="rect"/>
        </v:shapetype>
        <v:shape id="文本框 3" o:spid="_x0000_s1025"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" filled="f" stroked="f">
          <v:textbox style="mso-fit-shape-to-text:t" inset="0,0,0,0">
            <w:txbxContent>
              <w:p w14:paraId="2B008663" w14:textId="77777777" w:rsidR="00682ECC" w:rsidRDefault="00682ECC">
                <w:pPr>
                  <w:pStyle w:val="a9"/>
                </w:pPr>
                <w:r>
                  <w:fldChar w:fldCharType="begin"/>
                </w:r>
                <w:r>
                  <w:instrText xml:space="preserve"> PAGE  \* MERGEFORMAT </w:instrText>
                </w:r>
                <w:r>
                  <w:fldChar w:fldCharType="separate"/>
                </w:r>
                <w:r>
                  <w:rPr>
                    <w:noProof/>
                  </w:rPr>
                  <w:t>6</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E28D" w14:textId="77777777" w:rsidR="00994A6A" w:rsidRDefault="00994A6A" w:rsidP="00682ECC">
      <w:pPr>
        <w:spacing w:line="240" w:lineRule="auto"/>
        <w:rPr>
          <w:rFonts w:hint="eastAsia"/>
        </w:rPr>
      </w:pPr>
      <w:r>
        <w:separator/>
      </w:r>
    </w:p>
  </w:footnote>
  <w:footnote w:type="continuationSeparator" w:id="0">
    <w:p w14:paraId="2C1D410A" w14:textId="77777777" w:rsidR="00994A6A" w:rsidRDefault="00994A6A" w:rsidP="00682ECC">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241B"/>
    <w:rsid w:val="003F0578"/>
    <w:rsid w:val="004A275C"/>
    <w:rsid w:val="00524E95"/>
    <w:rsid w:val="00682ECC"/>
    <w:rsid w:val="009872A7"/>
    <w:rsid w:val="00994A6A"/>
    <w:rsid w:val="00A0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D2D3480-57C7-4EF9-A464-FA288EF0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82ECC"/>
    <w:pPr>
      <w:widowControl w:val="0"/>
      <w:spacing w:after="0" w:line="360" w:lineRule="auto"/>
      <w:jc w:val="both"/>
    </w:pPr>
    <w:rPr>
      <w:rFonts w:ascii="Times New Roman" w:eastAsia="宋体" w:hAnsi="Times New Roman"/>
      <w:sz w:val="21"/>
      <w:szCs w:val="22"/>
    </w:rPr>
  </w:style>
  <w:style w:type="paragraph" w:styleId="1">
    <w:name w:val="heading 1"/>
    <w:basedOn w:val="a"/>
    <w:next w:val="a"/>
    <w:link w:val="10"/>
    <w:uiPriority w:val="9"/>
    <w:qFormat/>
    <w:rsid w:val="00A024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A024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241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0241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0241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0241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0241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41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0241B"/>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0241B"/>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sid w:val="00A0241B"/>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A0241B"/>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A0241B"/>
    <w:rPr>
      <w:rFonts w:cstheme="majorBidi"/>
      <w:color w:val="0F4761" w:themeColor="accent1" w:themeShade="BF"/>
      <w:sz w:val="28"/>
      <w:szCs w:val="28"/>
    </w:rPr>
  </w:style>
  <w:style w:type="character" w:customStyle="1" w:styleId="50">
    <w:name w:val="标题 5 字符"/>
    <w:basedOn w:val="a1"/>
    <w:link w:val="5"/>
    <w:uiPriority w:val="9"/>
    <w:semiHidden/>
    <w:rsid w:val="00A0241B"/>
    <w:rPr>
      <w:rFonts w:cstheme="majorBidi"/>
      <w:color w:val="0F4761" w:themeColor="accent1" w:themeShade="BF"/>
      <w:sz w:val="24"/>
    </w:rPr>
  </w:style>
  <w:style w:type="character" w:customStyle="1" w:styleId="60">
    <w:name w:val="标题 6 字符"/>
    <w:basedOn w:val="a1"/>
    <w:link w:val="6"/>
    <w:uiPriority w:val="9"/>
    <w:semiHidden/>
    <w:rsid w:val="00A0241B"/>
    <w:rPr>
      <w:rFonts w:cstheme="majorBidi"/>
      <w:b/>
      <w:bCs/>
      <w:color w:val="0F4761" w:themeColor="accent1" w:themeShade="BF"/>
    </w:rPr>
  </w:style>
  <w:style w:type="character" w:customStyle="1" w:styleId="70">
    <w:name w:val="标题 7 字符"/>
    <w:basedOn w:val="a1"/>
    <w:link w:val="7"/>
    <w:uiPriority w:val="9"/>
    <w:semiHidden/>
    <w:rsid w:val="00A0241B"/>
    <w:rPr>
      <w:rFonts w:cstheme="majorBidi"/>
      <w:b/>
      <w:bCs/>
      <w:color w:val="595959" w:themeColor="text1" w:themeTint="A6"/>
    </w:rPr>
  </w:style>
  <w:style w:type="character" w:customStyle="1" w:styleId="80">
    <w:name w:val="标题 8 字符"/>
    <w:basedOn w:val="a1"/>
    <w:link w:val="8"/>
    <w:uiPriority w:val="9"/>
    <w:semiHidden/>
    <w:rsid w:val="00A0241B"/>
    <w:rPr>
      <w:rFonts w:cstheme="majorBidi"/>
      <w:color w:val="595959" w:themeColor="text1" w:themeTint="A6"/>
    </w:rPr>
  </w:style>
  <w:style w:type="character" w:customStyle="1" w:styleId="90">
    <w:name w:val="标题 9 字符"/>
    <w:basedOn w:val="a1"/>
    <w:link w:val="9"/>
    <w:uiPriority w:val="9"/>
    <w:semiHidden/>
    <w:rsid w:val="00A0241B"/>
    <w:rPr>
      <w:rFonts w:eastAsiaTheme="majorEastAsia" w:cstheme="majorBidi"/>
      <w:color w:val="595959" w:themeColor="text1" w:themeTint="A6"/>
    </w:rPr>
  </w:style>
  <w:style w:type="paragraph" w:styleId="a4">
    <w:name w:val="Title"/>
    <w:basedOn w:val="a"/>
    <w:next w:val="a"/>
    <w:link w:val="a5"/>
    <w:uiPriority w:val="10"/>
    <w:qFormat/>
    <w:rsid w:val="00A02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A0241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A02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A0241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A0241B"/>
    <w:pPr>
      <w:spacing w:before="160"/>
      <w:jc w:val="center"/>
    </w:pPr>
    <w:rPr>
      <w:i/>
      <w:iCs/>
      <w:color w:val="404040" w:themeColor="text1" w:themeTint="BF"/>
    </w:rPr>
  </w:style>
  <w:style w:type="character" w:customStyle="1" w:styleId="a9">
    <w:name w:val="引用 字符"/>
    <w:basedOn w:val="a1"/>
    <w:link w:val="a8"/>
    <w:uiPriority w:val="29"/>
    <w:rsid w:val="00A0241B"/>
    <w:rPr>
      <w:i/>
      <w:iCs/>
      <w:color w:val="404040" w:themeColor="text1" w:themeTint="BF"/>
    </w:rPr>
  </w:style>
  <w:style w:type="paragraph" w:styleId="aa">
    <w:name w:val="List Paragraph"/>
    <w:basedOn w:val="a"/>
    <w:uiPriority w:val="34"/>
    <w:qFormat/>
    <w:rsid w:val="00A0241B"/>
    <w:pPr>
      <w:ind w:left="720"/>
      <w:contextualSpacing/>
    </w:pPr>
  </w:style>
  <w:style w:type="character" w:styleId="ab">
    <w:name w:val="Intense Emphasis"/>
    <w:basedOn w:val="a1"/>
    <w:uiPriority w:val="21"/>
    <w:qFormat/>
    <w:rsid w:val="00A0241B"/>
    <w:rPr>
      <w:i/>
      <w:iCs/>
      <w:color w:val="0F4761" w:themeColor="accent1" w:themeShade="BF"/>
    </w:rPr>
  </w:style>
  <w:style w:type="paragraph" w:styleId="ac">
    <w:name w:val="Intense Quote"/>
    <w:basedOn w:val="a"/>
    <w:next w:val="a"/>
    <w:link w:val="ad"/>
    <w:uiPriority w:val="30"/>
    <w:qFormat/>
    <w:rsid w:val="00A02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A0241B"/>
    <w:rPr>
      <w:i/>
      <w:iCs/>
      <w:color w:val="0F4761" w:themeColor="accent1" w:themeShade="BF"/>
    </w:rPr>
  </w:style>
  <w:style w:type="character" w:styleId="ae">
    <w:name w:val="Intense Reference"/>
    <w:basedOn w:val="a1"/>
    <w:uiPriority w:val="32"/>
    <w:qFormat/>
    <w:rsid w:val="00A0241B"/>
    <w:rPr>
      <w:b/>
      <w:bCs/>
      <w:smallCaps/>
      <w:color w:val="0F4761" w:themeColor="accent1" w:themeShade="BF"/>
      <w:spacing w:val="5"/>
    </w:rPr>
  </w:style>
  <w:style w:type="paragraph" w:styleId="af">
    <w:name w:val="header"/>
    <w:basedOn w:val="a"/>
    <w:link w:val="af0"/>
    <w:uiPriority w:val="99"/>
    <w:unhideWhenUsed/>
    <w:rsid w:val="00682ECC"/>
    <w:pPr>
      <w:tabs>
        <w:tab w:val="center" w:pos="4153"/>
        <w:tab w:val="right" w:pos="8306"/>
      </w:tabs>
      <w:snapToGrid w:val="0"/>
      <w:spacing w:line="240" w:lineRule="auto"/>
      <w:jc w:val="center"/>
    </w:pPr>
    <w:rPr>
      <w:sz w:val="18"/>
      <w:szCs w:val="18"/>
    </w:rPr>
  </w:style>
  <w:style w:type="character" w:customStyle="1" w:styleId="af0">
    <w:name w:val="页眉 字符"/>
    <w:basedOn w:val="a1"/>
    <w:link w:val="af"/>
    <w:uiPriority w:val="99"/>
    <w:rsid w:val="00682ECC"/>
    <w:rPr>
      <w:sz w:val="18"/>
      <w:szCs w:val="18"/>
    </w:rPr>
  </w:style>
  <w:style w:type="paragraph" w:styleId="af1">
    <w:name w:val="footer"/>
    <w:basedOn w:val="a"/>
    <w:link w:val="af2"/>
    <w:uiPriority w:val="99"/>
    <w:unhideWhenUsed/>
    <w:qFormat/>
    <w:rsid w:val="00682ECC"/>
    <w:pPr>
      <w:tabs>
        <w:tab w:val="center" w:pos="4153"/>
        <w:tab w:val="right" w:pos="8306"/>
      </w:tabs>
      <w:snapToGrid w:val="0"/>
      <w:spacing w:line="240" w:lineRule="auto"/>
    </w:pPr>
    <w:rPr>
      <w:sz w:val="18"/>
      <w:szCs w:val="18"/>
    </w:rPr>
  </w:style>
  <w:style w:type="character" w:customStyle="1" w:styleId="af2">
    <w:name w:val="页脚 字符"/>
    <w:basedOn w:val="a1"/>
    <w:link w:val="af1"/>
    <w:uiPriority w:val="99"/>
    <w:qFormat/>
    <w:rsid w:val="00682ECC"/>
    <w:rPr>
      <w:sz w:val="18"/>
      <w:szCs w:val="18"/>
    </w:rPr>
  </w:style>
  <w:style w:type="paragraph" w:styleId="a0">
    <w:name w:val="Block Text"/>
    <w:basedOn w:val="a"/>
    <w:next w:val="af3"/>
    <w:uiPriority w:val="99"/>
    <w:qFormat/>
    <w:rsid w:val="00682ECC"/>
    <w:pPr>
      <w:adjustRightInd w:val="0"/>
      <w:jc w:val="left"/>
      <w:textAlignment w:val="baseline"/>
    </w:pPr>
    <w:rPr>
      <w:color w:val="000000"/>
      <w:kern w:val="0"/>
      <w:lang w:eastAsia="en-US" w:bidi="en-US"/>
    </w:rPr>
  </w:style>
  <w:style w:type="paragraph" w:styleId="af3">
    <w:name w:val="Body Text"/>
    <w:basedOn w:val="a"/>
    <w:link w:val="af4"/>
    <w:unhideWhenUsed/>
    <w:qFormat/>
    <w:rsid w:val="00682ECC"/>
    <w:pPr>
      <w:widowControl/>
      <w:spacing w:after="120"/>
      <w:jc w:val="left"/>
    </w:pPr>
    <w:rPr>
      <w:rFonts w:cs="Times New Roman"/>
      <w:kern w:val="0"/>
    </w:rPr>
  </w:style>
  <w:style w:type="character" w:customStyle="1" w:styleId="af4">
    <w:name w:val="正文文本 字符"/>
    <w:basedOn w:val="a1"/>
    <w:link w:val="af3"/>
    <w:qFormat/>
    <w:rsid w:val="00682ECC"/>
    <w:rPr>
      <w:rFonts w:ascii="Times New Roman" w:eastAsia="宋体" w:hAnsi="Times New Roman" w:cs="Times New Roman"/>
      <w:kern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峰 高</dc:creator>
  <cp:keywords/>
  <dc:description/>
  <cp:lastModifiedBy>峰 高</cp:lastModifiedBy>
  <cp:revision>2</cp:revision>
  <dcterms:created xsi:type="dcterms:W3CDTF">2025-03-27T08:23:00Z</dcterms:created>
  <dcterms:modified xsi:type="dcterms:W3CDTF">2025-03-27T08:23:00Z</dcterms:modified>
</cp:coreProperties>
</file>